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00863" w14:textId="32105D5E" w:rsidR="003137C0" w:rsidRPr="00F95BC7" w:rsidRDefault="004F6FC7">
      <w:pPr>
        <w:spacing w:after="0" w:line="360" w:lineRule="auto"/>
        <w:jc w:val="center"/>
        <w:rPr>
          <w:rFonts w:ascii="Times New Roman" w:eastAsia="Times New Roman" w:hAnsi="Times New Roman" w:cs="Times New Roman"/>
          <w:b/>
          <w:bCs/>
          <w:sz w:val="24"/>
          <w:szCs w:val="24"/>
        </w:rPr>
      </w:pPr>
      <w:r w:rsidRPr="00F95BC7">
        <w:rPr>
          <w:rFonts w:ascii="Times New Roman" w:eastAsia="Times New Roman" w:hAnsi="Times New Roman" w:cs="Times New Roman"/>
          <w:b/>
          <w:bCs/>
          <w:sz w:val="24"/>
          <w:szCs w:val="24"/>
        </w:rPr>
        <w:t>O papel das unidades de conservação de Ananindeua</w:t>
      </w:r>
      <w:r w:rsidR="001965D1" w:rsidRPr="00F95BC7">
        <w:rPr>
          <w:rFonts w:ascii="Times New Roman" w:eastAsia="Times New Roman" w:hAnsi="Times New Roman" w:cs="Times New Roman"/>
          <w:b/>
          <w:bCs/>
          <w:sz w:val="24"/>
          <w:szCs w:val="24"/>
        </w:rPr>
        <w:t>-PA</w:t>
      </w:r>
      <w:r w:rsidRPr="00F95BC7">
        <w:rPr>
          <w:rFonts w:ascii="Times New Roman" w:eastAsia="Times New Roman" w:hAnsi="Times New Roman" w:cs="Times New Roman"/>
          <w:b/>
          <w:bCs/>
          <w:sz w:val="24"/>
          <w:szCs w:val="24"/>
        </w:rPr>
        <w:t xml:space="preserve"> para a governança municipal</w:t>
      </w:r>
    </w:p>
    <w:p w14:paraId="7E8EA4FD" w14:textId="07A56E9C" w:rsidR="003137C0" w:rsidRPr="00F95BC7" w:rsidRDefault="004F6FC7">
      <w:pPr>
        <w:spacing w:after="0" w:line="360" w:lineRule="auto"/>
        <w:jc w:val="center"/>
        <w:rPr>
          <w:rFonts w:ascii="Times New Roman" w:eastAsia="Times New Roman" w:hAnsi="Times New Roman" w:cs="Times New Roman"/>
          <w:sz w:val="24"/>
          <w:szCs w:val="24"/>
          <w:lang w:val="en-US"/>
        </w:rPr>
      </w:pPr>
      <w:r w:rsidRPr="00F95BC7">
        <w:rPr>
          <w:rFonts w:ascii="Times New Roman" w:eastAsia="Times New Roman" w:hAnsi="Times New Roman" w:cs="Times New Roman"/>
          <w:sz w:val="24"/>
          <w:szCs w:val="24"/>
          <w:lang w:val="en-US"/>
        </w:rPr>
        <w:t>[The role of protected areas in Ananindeua</w:t>
      </w:r>
      <w:r w:rsidR="00076A12" w:rsidRPr="00F95BC7">
        <w:rPr>
          <w:rFonts w:ascii="Times New Roman" w:eastAsia="Times New Roman" w:hAnsi="Times New Roman" w:cs="Times New Roman"/>
          <w:sz w:val="24"/>
          <w:szCs w:val="24"/>
          <w:lang w:val="en-US"/>
        </w:rPr>
        <w:t>-PA</w:t>
      </w:r>
      <w:r w:rsidRPr="00F95BC7">
        <w:rPr>
          <w:rFonts w:ascii="Times New Roman" w:eastAsia="Times New Roman" w:hAnsi="Times New Roman" w:cs="Times New Roman"/>
          <w:sz w:val="24"/>
          <w:szCs w:val="24"/>
          <w:lang w:val="en-US"/>
        </w:rPr>
        <w:t xml:space="preserve"> for municipal governance]</w:t>
      </w:r>
    </w:p>
    <w:p w14:paraId="415C74BF" w14:textId="77777777" w:rsidR="003137C0" w:rsidRPr="00F95BC7" w:rsidRDefault="003137C0">
      <w:pPr>
        <w:shd w:val="clear" w:color="auto" w:fill="FFFFFF" w:themeFill="background1"/>
        <w:spacing w:after="0" w:line="240" w:lineRule="auto"/>
        <w:jc w:val="both"/>
        <w:rPr>
          <w:rFonts w:ascii="Times New Roman" w:eastAsia="Times New Roman" w:hAnsi="Times New Roman" w:cs="Times New Roman"/>
          <w:sz w:val="24"/>
          <w:szCs w:val="24"/>
          <w:shd w:val="clear" w:color="auto" w:fill="F8F9FA"/>
          <w:lang w:val="en-US"/>
        </w:rPr>
      </w:pPr>
    </w:p>
    <w:p w14:paraId="12F7A087" w14:textId="77777777" w:rsidR="003137C0" w:rsidRPr="00F95BC7" w:rsidRDefault="004F6FC7" w:rsidP="004E7026">
      <w:pPr>
        <w:pStyle w:val="PargrafodaLista"/>
        <w:numPr>
          <w:ilvl w:val="0"/>
          <w:numId w:val="1"/>
        </w:numPr>
        <w:shd w:val="clear" w:color="auto" w:fill="FFFFFF" w:themeFill="background1"/>
        <w:spacing w:after="0" w:line="360" w:lineRule="auto"/>
        <w:outlineLvl w:val="0"/>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INTRODUÇÃO</w:t>
      </w:r>
    </w:p>
    <w:p w14:paraId="40D6060D"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Devido à crescente complexidade da vida social, a direção política e a gestão governamental reduzem a possibilidade de governos atuarem de modo centralizado (GRIN; ABRUCIO, 2019). No Brasil, após a Constituição de 1988, municípios adquiriram autonomia administrativa, tornando-se Unidades Federadas. Corralo (2015) explica que a autonomia dos municípios brasileiros possui cinco características: auto organizatória, política, financeira, legislativa e administrativa.</w:t>
      </w:r>
    </w:p>
    <w:p w14:paraId="6DB30499" w14:textId="08AAB74C"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Autonomia auto organizatória decorre da elaboração de Lei Orgânica Municipal, normas</w:t>
      </w:r>
      <w:r w:rsidR="00905414"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etc. Autonomia política refere-se ao poder dos munícipes de eleger governantes. Já autonomia financeira é a capacidade de criar e aplicar tributos locais nos interesses do município. A legislativa refere-se à elaboração do sistema normativo local, tendo munícipes como membros das câmaras municipais. Por fim, a administrativa, que denota organização e funcionalidade das atividades administrativas locais (CORRALO, 2015). É a autonomia que possibilita elaborar meios participativos para os munícipes.</w:t>
      </w:r>
    </w:p>
    <w:p w14:paraId="07C466A9" w14:textId="17BDF480"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No caso de unidades de conservação (UC), como </w:t>
      </w:r>
      <w:r w:rsidRPr="00F95BC7">
        <w:rPr>
          <w:rFonts w:ascii="Times New Roman" w:eastAsia="Times New Roman" w:hAnsi="Times New Roman" w:cs="Times New Roman"/>
          <w:i/>
          <w:sz w:val="24"/>
          <w:szCs w:val="24"/>
        </w:rPr>
        <w:t>loci</w:t>
      </w:r>
      <w:r w:rsidRPr="00F95BC7">
        <w:rPr>
          <w:rFonts w:ascii="Times New Roman" w:eastAsia="Times New Roman" w:hAnsi="Times New Roman" w:cs="Times New Roman"/>
          <w:sz w:val="24"/>
          <w:szCs w:val="24"/>
        </w:rPr>
        <w:t xml:space="preserve"> da análise, fica bem evidente a existência de elementos que permitem a participação dos atores locais por meio dos conselhos gestores, que podem ser consultivos ou deliberativos. De acordo com Castro (2009), os conselhos gestores são formados por membros que têm poder de voz, orientação e opinião</w:t>
      </w:r>
      <w:r w:rsidR="00793FCF"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e devem trazer para o conselho os interesses e conhecimentos locais e/ou do grupo que representam. Cabe destacar que UC são territórios de proteção garantida por lei, com regime especial de administração e objetiva a conservação dos recursos naturais e da biodiversidade existentes no seu interior.</w:t>
      </w:r>
    </w:p>
    <w:p w14:paraId="14A3054A" w14:textId="1FD015ED"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É possível identificar dificuldades para a consolidação da atuação dos atores em esfera local. A falta ou limitação de comunicação entre os agentes públicos e as comunidades, impede a compreensão dos interesses locais. Na Amazônia, os </w:t>
      </w:r>
      <w:r w:rsidR="00FD2086" w:rsidRPr="00F95BC7">
        <w:rPr>
          <w:rFonts w:ascii="Times New Roman" w:eastAsia="Times New Roman" w:hAnsi="Times New Roman" w:cs="Times New Roman"/>
          <w:sz w:val="24"/>
          <w:szCs w:val="24"/>
        </w:rPr>
        <w:t>espaços</w:t>
      </w:r>
      <w:r w:rsidRPr="00F95BC7">
        <w:rPr>
          <w:rFonts w:ascii="Times New Roman" w:eastAsia="Times New Roman" w:hAnsi="Times New Roman" w:cs="Times New Roman"/>
          <w:sz w:val="24"/>
          <w:szCs w:val="24"/>
        </w:rPr>
        <w:t xml:space="preserve"> onde ocorrem as reuniões dos conselhos podem ser um problema, já que os territórios possuem logística diversificada. Em geral, os membros de conselhos gestores de UC não recebem remuneração, o que pode inibir a participação de representantes em vulnerabilidade econômica e/ou </w:t>
      </w:r>
      <w:r w:rsidR="00FD2086" w:rsidRPr="00F95BC7">
        <w:rPr>
          <w:rFonts w:ascii="Times New Roman" w:eastAsia="Times New Roman" w:hAnsi="Times New Roman" w:cs="Times New Roman"/>
          <w:sz w:val="24"/>
          <w:szCs w:val="24"/>
        </w:rPr>
        <w:t xml:space="preserve">de </w:t>
      </w:r>
      <w:r w:rsidRPr="00F95BC7">
        <w:rPr>
          <w:rFonts w:ascii="Times New Roman" w:eastAsia="Times New Roman" w:hAnsi="Times New Roman" w:cs="Times New Roman"/>
          <w:sz w:val="24"/>
          <w:szCs w:val="24"/>
        </w:rPr>
        <w:t>comunidades carentes.</w:t>
      </w:r>
    </w:p>
    <w:p w14:paraId="4D0E9B95" w14:textId="57BF1AEF"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Como delimitação de pesquisa </w:t>
      </w:r>
      <w:r w:rsidR="00FD2086" w:rsidRPr="00F95BC7">
        <w:rPr>
          <w:rFonts w:ascii="Times New Roman" w:eastAsia="Times New Roman" w:hAnsi="Times New Roman" w:cs="Times New Roman"/>
          <w:sz w:val="24"/>
          <w:szCs w:val="24"/>
        </w:rPr>
        <w:t>foram</w:t>
      </w:r>
      <w:r w:rsidRPr="00F95BC7">
        <w:rPr>
          <w:rFonts w:ascii="Times New Roman" w:eastAsia="Times New Roman" w:hAnsi="Times New Roman" w:cs="Times New Roman"/>
          <w:sz w:val="24"/>
          <w:szCs w:val="24"/>
        </w:rPr>
        <w:t xml:space="preserve"> observadas unidades de conservação (UC) localizadas em Ananindeua-PA, na Região Metropolitana de Belém </w:t>
      </w:r>
      <w:r w:rsidR="00793FCF"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RMB</w:t>
      </w:r>
      <w:r w:rsidR="00793FCF"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 xml:space="preserve">, que é exemplo de desenvolvimento </w:t>
      </w:r>
      <w:r w:rsidRPr="00F95BC7">
        <w:rPr>
          <w:rFonts w:ascii="Times New Roman" w:eastAsia="Times New Roman" w:hAnsi="Times New Roman" w:cs="Times New Roman"/>
          <w:sz w:val="24"/>
          <w:szCs w:val="24"/>
        </w:rPr>
        <w:lastRenderedPageBreak/>
        <w:t>urbano desorganizado na Amazônia. Formada por sete municípios,</w:t>
      </w:r>
      <w:r w:rsidRPr="00F95BC7">
        <w:rPr>
          <w:rFonts w:ascii="Times New Roman" w:eastAsia="Times New Roman" w:hAnsi="Times New Roman" w:cs="Times New Roman"/>
          <w:sz w:val="24"/>
          <w:szCs w:val="24"/>
          <w:vertAlign w:val="superscript"/>
        </w:rPr>
        <w:footnoteReference w:id="1"/>
      </w:r>
      <w:r w:rsidRPr="00F95BC7">
        <w:rPr>
          <w:rFonts w:ascii="Times New Roman" w:eastAsia="Times New Roman" w:hAnsi="Times New Roman" w:cs="Times New Roman"/>
          <w:sz w:val="24"/>
          <w:szCs w:val="24"/>
        </w:rPr>
        <w:t xml:space="preserve"> no extremo oriente da Amazônia Legal, a RMB tem Belém como cidade primaz (CARMO; COSTA, 2017). Ananindeua</w:t>
      </w:r>
      <w:r w:rsidRPr="00F95BC7">
        <w:rPr>
          <w:rFonts w:ascii="Times New Roman" w:eastAsia="Times New Roman" w:hAnsi="Times New Roman" w:cs="Times New Roman"/>
          <w:sz w:val="24"/>
          <w:szCs w:val="24"/>
          <w:vertAlign w:val="superscript"/>
        </w:rPr>
        <w:footnoteReference w:id="2"/>
      </w:r>
      <w:r w:rsidRPr="00F95BC7">
        <w:rPr>
          <w:rFonts w:ascii="Times New Roman" w:eastAsia="Times New Roman" w:hAnsi="Times New Roman" w:cs="Times New Roman"/>
          <w:sz w:val="24"/>
          <w:szCs w:val="24"/>
        </w:rPr>
        <w:t xml:space="preserve"> vive, segundo Freitas, Almeida e Pereira (2014), </w:t>
      </w:r>
      <w:r w:rsidR="0033622D" w:rsidRPr="00F95BC7">
        <w:rPr>
          <w:rFonts w:ascii="Times New Roman" w:eastAsia="Times New Roman" w:hAnsi="Times New Roman" w:cs="Times New Roman"/>
          <w:sz w:val="24"/>
          <w:szCs w:val="24"/>
        </w:rPr>
        <w:t xml:space="preserve">um </w:t>
      </w:r>
      <w:r w:rsidRPr="00F95BC7">
        <w:rPr>
          <w:rFonts w:ascii="Times New Roman" w:eastAsia="Times New Roman" w:hAnsi="Times New Roman" w:cs="Times New Roman"/>
          <w:sz w:val="24"/>
          <w:szCs w:val="24"/>
        </w:rPr>
        <w:t>processo de conurbação com a capital, sendo cidade dormitório c</w:t>
      </w:r>
      <w:r w:rsidR="00FD2086" w:rsidRPr="00F95BC7">
        <w:rPr>
          <w:rFonts w:ascii="Times New Roman" w:eastAsia="Times New Roman" w:hAnsi="Times New Roman" w:cs="Times New Roman"/>
          <w:sz w:val="24"/>
          <w:szCs w:val="24"/>
        </w:rPr>
        <w:t>om</w:t>
      </w:r>
      <w:r w:rsidRPr="00F95BC7">
        <w:rPr>
          <w:rFonts w:ascii="Times New Roman" w:eastAsia="Times New Roman" w:hAnsi="Times New Roman" w:cs="Times New Roman"/>
          <w:sz w:val="24"/>
          <w:szCs w:val="24"/>
        </w:rPr>
        <w:t xml:space="preserve"> atividades profissionais, </w:t>
      </w:r>
      <w:r w:rsidR="00FD2086" w:rsidRPr="00F95BC7">
        <w:rPr>
          <w:rFonts w:ascii="Times New Roman" w:eastAsia="Times New Roman" w:hAnsi="Times New Roman" w:cs="Times New Roman"/>
          <w:sz w:val="24"/>
          <w:szCs w:val="24"/>
        </w:rPr>
        <w:t xml:space="preserve">de </w:t>
      </w:r>
      <w:r w:rsidRPr="00F95BC7">
        <w:rPr>
          <w:rFonts w:ascii="Times New Roman" w:eastAsia="Times New Roman" w:hAnsi="Times New Roman" w:cs="Times New Roman"/>
          <w:sz w:val="24"/>
          <w:szCs w:val="24"/>
        </w:rPr>
        <w:t xml:space="preserve">estudos e </w:t>
      </w:r>
      <w:r w:rsidR="00FD2086" w:rsidRPr="00F95BC7">
        <w:rPr>
          <w:rFonts w:ascii="Times New Roman" w:eastAsia="Times New Roman" w:hAnsi="Times New Roman" w:cs="Times New Roman"/>
          <w:sz w:val="24"/>
          <w:szCs w:val="24"/>
        </w:rPr>
        <w:t xml:space="preserve">de </w:t>
      </w:r>
      <w:r w:rsidRPr="00F95BC7">
        <w:rPr>
          <w:rFonts w:ascii="Times New Roman" w:eastAsia="Times New Roman" w:hAnsi="Times New Roman" w:cs="Times New Roman"/>
          <w:sz w:val="24"/>
          <w:szCs w:val="24"/>
        </w:rPr>
        <w:t>lazer ocorre</w:t>
      </w:r>
      <w:r w:rsidR="00FD2086" w:rsidRPr="00F95BC7">
        <w:rPr>
          <w:rFonts w:ascii="Times New Roman" w:eastAsia="Times New Roman" w:hAnsi="Times New Roman" w:cs="Times New Roman"/>
          <w:sz w:val="24"/>
          <w:szCs w:val="24"/>
        </w:rPr>
        <w:t>ndo</w:t>
      </w:r>
      <w:r w:rsidRPr="00F95BC7">
        <w:rPr>
          <w:rFonts w:ascii="Times New Roman" w:eastAsia="Times New Roman" w:hAnsi="Times New Roman" w:cs="Times New Roman"/>
          <w:sz w:val="24"/>
          <w:szCs w:val="24"/>
        </w:rPr>
        <w:t xml:space="preserve"> prioritariamente fora </w:t>
      </w:r>
      <w:r w:rsidR="00C57093" w:rsidRPr="00F95BC7">
        <w:rPr>
          <w:rFonts w:ascii="Times New Roman" w:eastAsia="Times New Roman" w:hAnsi="Times New Roman" w:cs="Times New Roman"/>
          <w:sz w:val="24"/>
          <w:szCs w:val="24"/>
        </w:rPr>
        <w:t xml:space="preserve">da área </w:t>
      </w:r>
      <w:r w:rsidRPr="00F95BC7">
        <w:rPr>
          <w:rFonts w:ascii="Times New Roman" w:eastAsia="Times New Roman" w:hAnsi="Times New Roman" w:cs="Times New Roman"/>
          <w:sz w:val="24"/>
          <w:szCs w:val="24"/>
        </w:rPr>
        <w:t xml:space="preserve">do município. </w:t>
      </w:r>
    </w:p>
    <w:p w14:paraId="447389B5" w14:textId="1C89FDB3"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objetivo geral da pesquisa é demonstrar o papel das UC localizadas em Ananindeua para a governança no município. Portanto, pretende-se identificar a participação dos atores sociais de Ananindeua nas UC localizadas no município e descrever as práticas adotadas pelos conselhos destas UC por meio das publicações ativas de transparência. Para isso, serão objeto de análise cinco unidades de conservação, duas de gestão municipal, localizadas exclusivamente em Ananindeua; e três de gestão estadual, que também estão localizadas em outros municípios. O artigo é dividido em </w:t>
      </w:r>
      <w:r w:rsidR="008A5FBD" w:rsidRPr="00F95BC7">
        <w:rPr>
          <w:rFonts w:ascii="Times New Roman" w:eastAsia="Times New Roman" w:hAnsi="Times New Roman" w:cs="Times New Roman"/>
          <w:sz w:val="24"/>
          <w:szCs w:val="24"/>
        </w:rPr>
        <w:t>seis</w:t>
      </w:r>
      <w:r w:rsidRPr="00F95BC7">
        <w:rPr>
          <w:rFonts w:ascii="Times New Roman" w:eastAsia="Times New Roman" w:hAnsi="Times New Roman" w:cs="Times New Roman"/>
          <w:sz w:val="24"/>
          <w:szCs w:val="24"/>
        </w:rPr>
        <w:t xml:space="preserve"> </w:t>
      </w:r>
      <w:r w:rsidR="001965D1" w:rsidRPr="00F95BC7">
        <w:rPr>
          <w:rFonts w:ascii="Times New Roman" w:eastAsia="Times New Roman" w:hAnsi="Times New Roman" w:cs="Times New Roman"/>
          <w:sz w:val="24"/>
          <w:szCs w:val="24"/>
        </w:rPr>
        <w:t>itens</w:t>
      </w:r>
      <w:r w:rsidRPr="00F95BC7">
        <w:rPr>
          <w:rFonts w:ascii="Times New Roman" w:eastAsia="Times New Roman" w:hAnsi="Times New Roman" w:cs="Times New Roman"/>
          <w:sz w:val="24"/>
          <w:szCs w:val="24"/>
        </w:rPr>
        <w:t>: introdução,</w:t>
      </w:r>
      <w:r w:rsidR="004B4D5F" w:rsidRPr="00F95BC7">
        <w:rPr>
          <w:rFonts w:ascii="Times New Roman" w:eastAsia="Times New Roman" w:hAnsi="Times New Roman" w:cs="Times New Roman"/>
          <w:sz w:val="24"/>
          <w:szCs w:val="24"/>
        </w:rPr>
        <w:t xml:space="preserve"> metodologia,</w:t>
      </w:r>
      <w:r w:rsidRPr="00F95BC7">
        <w:rPr>
          <w:rFonts w:ascii="Times New Roman" w:eastAsia="Times New Roman" w:hAnsi="Times New Roman" w:cs="Times New Roman"/>
          <w:sz w:val="24"/>
          <w:szCs w:val="24"/>
        </w:rPr>
        <w:t xml:space="preserve"> referencial teórico, unidades de conservação</w:t>
      </w:r>
      <w:r w:rsidR="008A5FBD" w:rsidRPr="00F95BC7">
        <w:rPr>
          <w:rFonts w:ascii="Times New Roman" w:eastAsia="Times New Roman" w:hAnsi="Times New Roman" w:cs="Times New Roman"/>
          <w:sz w:val="24"/>
          <w:szCs w:val="24"/>
        </w:rPr>
        <w:t>, resultados</w:t>
      </w:r>
      <w:r w:rsidR="004B4D5F"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e conclus</w:t>
      </w:r>
      <w:r w:rsidR="008A5FBD" w:rsidRPr="00F95BC7">
        <w:rPr>
          <w:rFonts w:ascii="Times New Roman" w:eastAsia="Times New Roman" w:hAnsi="Times New Roman" w:cs="Times New Roman"/>
          <w:sz w:val="24"/>
          <w:szCs w:val="24"/>
        </w:rPr>
        <w:t>ões</w:t>
      </w:r>
      <w:r w:rsidRPr="00F95BC7">
        <w:rPr>
          <w:rFonts w:ascii="Times New Roman" w:eastAsia="Times New Roman" w:hAnsi="Times New Roman" w:cs="Times New Roman"/>
          <w:sz w:val="24"/>
          <w:szCs w:val="24"/>
        </w:rPr>
        <w:t>.</w:t>
      </w:r>
    </w:p>
    <w:p w14:paraId="08D8720E" w14:textId="77777777" w:rsidR="001965D1" w:rsidRPr="00F95BC7" w:rsidRDefault="001965D1" w:rsidP="004E7026">
      <w:pPr>
        <w:pStyle w:val="PargrafodaLista"/>
        <w:numPr>
          <w:ilvl w:val="0"/>
          <w:numId w:val="1"/>
        </w:numPr>
        <w:spacing w:after="0" w:line="360" w:lineRule="auto"/>
        <w:jc w:val="both"/>
        <w:outlineLvl w:val="0"/>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METODOLOGIA</w:t>
      </w:r>
    </w:p>
    <w:p w14:paraId="2538D4A4" w14:textId="05558359" w:rsidR="00E87D63" w:rsidRPr="00F95BC7" w:rsidRDefault="001965D1" w:rsidP="00E87D63">
      <w:pPr>
        <w:spacing w:after="0" w:line="360" w:lineRule="auto"/>
        <w:ind w:firstLine="708"/>
        <w:jc w:val="both"/>
        <w:rPr>
          <w:rFonts w:ascii="Times New Roman" w:eastAsia="Times New Roman" w:hAnsi="Times New Roman" w:cs="Times New Roman"/>
          <w:sz w:val="24"/>
          <w:szCs w:val="24"/>
        </w:rPr>
      </w:pPr>
      <w:bookmarkStart w:id="0" w:name="_heading=h.tyjcwt" w:colFirst="0" w:colLast="0"/>
      <w:bookmarkEnd w:id="0"/>
      <w:r w:rsidRPr="00F95BC7">
        <w:rPr>
          <w:rFonts w:ascii="Times New Roman" w:eastAsia="Times New Roman" w:hAnsi="Times New Roman" w:cs="Times New Roman"/>
          <w:sz w:val="24"/>
          <w:szCs w:val="24"/>
        </w:rPr>
        <w:t xml:space="preserve">Abordagem </w:t>
      </w:r>
      <w:r w:rsidR="00C57093" w:rsidRPr="00F95BC7">
        <w:rPr>
          <w:rFonts w:ascii="Times New Roman" w:eastAsia="Times New Roman" w:hAnsi="Times New Roman" w:cs="Times New Roman"/>
          <w:sz w:val="24"/>
          <w:szCs w:val="24"/>
        </w:rPr>
        <w:t xml:space="preserve">é </w:t>
      </w:r>
      <w:r w:rsidRPr="00F95BC7">
        <w:rPr>
          <w:rFonts w:ascii="Times New Roman" w:eastAsia="Times New Roman" w:hAnsi="Times New Roman" w:cs="Times New Roman"/>
          <w:sz w:val="24"/>
          <w:szCs w:val="24"/>
        </w:rPr>
        <w:t xml:space="preserve">qualitativa e </w:t>
      </w:r>
      <w:r w:rsidR="00C57093" w:rsidRPr="00F95BC7">
        <w:rPr>
          <w:rFonts w:ascii="Times New Roman" w:eastAsia="Times New Roman" w:hAnsi="Times New Roman" w:cs="Times New Roman"/>
          <w:sz w:val="24"/>
          <w:szCs w:val="24"/>
        </w:rPr>
        <w:t xml:space="preserve">o </w:t>
      </w:r>
      <w:r w:rsidRPr="00F95BC7">
        <w:rPr>
          <w:rFonts w:ascii="Times New Roman" w:eastAsia="Times New Roman" w:hAnsi="Times New Roman" w:cs="Times New Roman"/>
          <w:sz w:val="24"/>
          <w:szCs w:val="24"/>
        </w:rPr>
        <w:t xml:space="preserve">objetivo descritivo. Marconi, Lakatos (2018) e Simonian (2006) explicam que a metodologia qualitativa pressupõe análise e interpretação de aspectos mais profundos da complexidade do comportamento humano, inclusive das populações tradicionais. A pesquisa descreve o papel das UC localizadas em Ananindeua para práticas de governança municipal, tratando-se de análise sobre a estrutura disponível no município para participação da sociedade. Com relação aos instrumentos de coleta de dados foram utilizadas fontes primárias e secundárias. Como fonte primária, técnica de pesquisa documental, foram analisadas atas de reunião de conselhos consultivos e regimentos internos, documentos disponíveis no sítio eletrônico do IDEFLOR-BIO. </w:t>
      </w:r>
    </w:p>
    <w:p w14:paraId="68BDCC61" w14:textId="3C9CA66E" w:rsidR="001965D1" w:rsidRPr="00F95BC7" w:rsidRDefault="001965D1" w:rsidP="001965D1">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 recorte temporal utilizado para a análise das atas de reunião dos conselhos gestores fo</w:t>
      </w:r>
      <w:r w:rsidR="004B4D5F" w:rsidRPr="00F95BC7">
        <w:rPr>
          <w:rFonts w:ascii="Times New Roman" w:eastAsia="Times New Roman" w:hAnsi="Times New Roman" w:cs="Times New Roman"/>
          <w:sz w:val="24"/>
          <w:szCs w:val="24"/>
        </w:rPr>
        <w:t xml:space="preserve">i do período de 2017-2020, sendo </w:t>
      </w:r>
      <w:r w:rsidR="00F30A42" w:rsidRPr="00F95BC7">
        <w:rPr>
          <w:rFonts w:ascii="Times New Roman" w:eastAsia="Times New Roman" w:hAnsi="Times New Roman" w:cs="Times New Roman"/>
          <w:sz w:val="24"/>
          <w:szCs w:val="24"/>
        </w:rPr>
        <w:t>realizad</w:t>
      </w:r>
      <w:r w:rsidR="003F000D" w:rsidRPr="00F95BC7">
        <w:rPr>
          <w:rFonts w:ascii="Times New Roman" w:eastAsia="Times New Roman" w:hAnsi="Times New Roman" w:cs="Times New Roman"/>
          <w:sz w:val="24"/>
          <w:szCs w:val="24"/>
        </w:rPr>
        <w:t>a</w:t>
      </w:r>
      <w:r w:rsidR="00F30A42" w:rsidRPr="00F95BC7">
        <w:rPr>
          <w:rFonts w:ascii="Times New Roman" w:eastAsia="Times New Roman" w:hAnsi="Times New Roman" w:cs="Times New Roman"/>
          <w:sz w:val="24"/>
          <w:szCs w:val="24"/>
        </w:rPr>
        <w:t xml:space="preserve"> consulta </w:t>
      </w:r>
      <w:r w:rsidR="004B4D5F" w:rsidRPr="00F95BC7">
        <w:rPr>
          <w:rFonts w:ascii="Times New Roman" w:eastAsia="Times New Roman" w:hAnsi="Times New Roman" w:cs="Times New Roman"/>
          <w:sz w:val="24"/>
          <w:szCs w:val="24"/>
        </w:rPr>
        <w:t>no sítio eletrônico até fevereiro/2021, quando finalizou</w:t>
      </w:r>
      <w:r w:rsidRPr="00F95BC7">
        <w:rPr>
          <w:rFonts w:ascii="Times New Roman" w:eastAsia="Times New Roman" w:hAnsi="Times New Roman" w:cs="Times New Roman"/>
          <w:sz w:val="24"/>
          <w:szCs w:val="24"/>
        </w:rPr>
        <w:t xml:space="preserve"> a produção do presente artigo. Além das fontes documentais, foi realizada entrevista com o diretor geral da Secretaria Municipal de Meio Ambiente de Ananindeua à época da criação das UC municipais. Já na fonte secundária, técnica de pesquisa bibliográfica, foi realizada a leitura e análise de artigos científicos e livros. Conforme Gil (2019), a pesquisa bibliográfica é elaborada com base em material já publicado, como artigos científicos, livros, teses, dissertações, anais de eventos etc. </w:t>
      </w:r>
    </w:p>
    <w:p w14:paraId="1F76B1C8" w14:textId="77777777" w:rsidR="003137C0" w:rsidRPr="00F95BC7" w:rsidRDefault="004F6FC7" w:rsidP="00E87D63">
      <w:pPr>
        <w:pStyle w:val="PargrafodaLista"/>
        <w:numPr>
          <w:ilvl w:val="0"/>
          <w:numId w:val="1"/>
        </w:numPr>
        <w:spacing w:after="0" w:line="360" w:lineRule="auto"/>
        <w:ind w:left="426"/>
        <w:jc w:val="both"/>
        <w:outlineLvl w:val="0"/>
        <w:rPr>
          <w:rFonts w:ascii="Times New Roman" w:eastAsia="Times New Roman" w:hAnsi="Times New Roman" w:cs="Times New Roman"/>
          <w:bCs/>
          <w:sz w:val="24"/>
          <w:szCs w:val="24"/>
        </w:rPr>
      </w:pPr>
      <w:r w:rsidRPr="00F95BC7">
        <w:rPr>
          <w:rFonts w:ascii="Times New Roman" w:eastAsia="Times New Roman" w:hAnsi="Times New Roman" w:cs="Times New Roman"/>
          <w:bCs/>
          <w:sz w:val="24"/>
          <w:szCs w:val="24"/>
        </w:rPr>
        <w:lastRenderedPageBreak/>
        <w:t>GOVERNANÇA MUNICIPAL E AS UNIDADES DE CONSERVAÇÃO COMO ESTRUTURA PARA PARTICIPAÇÃO SOCIAL</w:t>
      </w:r>
    </w:p>
    <w:p w14:paraId="278F1502" w14:textId="4D117195"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Segundo Silva e </w:t>
      </w:r>
      <w:proofErr w:type="spellStart"/>
      <w:r w:rsidRPr="00F95BC7">
        <w:rPr>
          <w:rFonts w:ascii="Times New Roman" w:eastAsia="Times New Roman" w:hAnsi="Times New Roman" w:cs="Times New Roman"/>
          <w:sz w:val="24"/>
          <w:szCs w:val="24"/>
        </w:rPr>
        <w:t>Seibert</w:t>
      </w:r>
      <w:proofErr w:type="spellEnd"/>
      <w:r w:rsidRPr="00F95BC7">
        <w:rPr>
          <w:rFonts w:ascii="Times New Roman" w:eastAsia="Times New Roman" w:hAnsi="Times New Roman" w:cs="Times New Roman"/>
          <w:sz w:val="24"/>
          <w:szCs w:val="24"/>
        </w:rPr>
        <w:t xml:space="preserve"> (2015), o surgimento da expressão governança ocorreu no início dos anos 1980, em corporações empresariais, empregando bases teóricas da Teoria da Agência e a Teoria dos Custos de Transação. </w:t>
      </w:r>
      <w:proofErr w:type="spellStart"/>
      <w:r w:rsidRPr="00F95BC7">
        <w:rPr>
          <w:rFonts w:ascii="Times New Roman" w:eastAsia="Times New Roman" w:hAnsi="Times New Roman" w:cs="Times New Roman"/>
          <w:sz w:val="24"/>
          <w:szCs w:val="24"/>
        </w:rPr>
        <w:t>Carbonell</w:t>
      </w:r>
      <w:proofErr w:type="spellEnd"/>
      <w:r w:rsidRPr="00F95BC7">
        <w:rPr>
          <w:rFonts w:ascii="Times New Roman" w:eastAsia="Times New Roman" w:hAnsi="Times New Roman" w:cs="Times New Roman"/>
          <w:sz w:val="24"/>
          <w:szCs w:val="24"/>
        </w:rPr>
        <w:t xml:space="preserve">, Alcazar e </w:t>
      </w:r>
      <w:proofErr w:type="spellStart"/>
      <w:r w:rsidRPr="00F95BC7">
        <w:rPr>
          <w:rFonts w:ascii="Times New Roman" w:eastAsia="Times New Roman" w:hAnsi="Times New Roman" w:cs="Times New Roman"/>
          <w:sz w:val="24"/>
          <w:szCs w:val="24"/>
        </w:rPr>
        <w:t>Gardey</w:t>
      </w:r>
      <w:proofErr w:type="spellEnd"/>
      <w:r w:rsidRPr="00F95BC7">
        <w:rPr>
          <w:rFonts w:ascii="Times New Roman" w:eastAsia="Times New Roman" w:hAnsi="Times New Roman" w:cs="Times New Roman"/>
          <w:sz w:val="24"/>
          <w:szCs w:val="24"/>
        </w:rPr>
        <w:t xml:space="preserve"> (2017) explicam que a Teoria da Agência estuda o desenvolvimento das relações internas e dos contratos formais e informais que dela resultam. Para Sarto e Almeida (2015), a Teoria dos Custos de Transação está na noção de incerteza nas relações contratuais entre agentes, ambiente econômico e comportamento das partes. Atrelado aos dois conceitos, Brandão (2008) explica que governança corresponde às relações entre agentes envolvidos, ambientes de negociação e papéis desempenhados por estes agentes. Assim, entidades que apresentem compartilhamento de poder t</w:t>
      </w:r>
      <w:r w:rsidR="003E0A48" w:rsidRPr="00F95BC7">
        <w:rPr>
          <w:rFonts w:ascii="Times New Roman" w:eastAsia="Times New Roman" w:hAnsi="Times New Roman" w:cs="Times New Roman"/>
          <w:sz w:val="24"/>
          <w:szCs w:val="24"/>
        </w:rPr>
        <w:t>ê</w:t>
      </w:r>
      <w:r w:rsidRPr="00F95BC7">
        <w:rPr>
          <w:rFonts w:ascii="Times New Roman" w:eastAsia="Times New Roman" w:hAnsi="Times New Roman" w:cs="Times New Roman"/>
          <w:sz w:val="24"/>
          <w:szCs w:val="24"/>
        </w:rPr>
        <w:t xml:space="preserve">m governança estabelecida. No entanto, o conceito vem sendo complementado com termos específicos, como governança pública, ambiental e municipal. </w:t>
      </w:r>
    </w:p>
    <w:p w14:paraId="3725AEEA" w14:textId="7568C09E" w:rsidR="003137C0" w:rsidRPr="00F95BC7" w:rsidRDefault="00BF01F3">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No entendimento de</w:t>
      </w:r>
      <w:r w:rsidR="004F6FC7" w:rsidRPr="00F95BC7">
        <w:rPr>
          <w:rFonts w:ascii="Times New Roman" w:eastAsia="Times New Roman" w:hAnsi="Times New Roman" w:cs="Times New Roman"/>
          <w:sz w:val="24"/>
          <w:szCs w:val="24"/>
        </w:rPr>
        <w:t xml:space="preserve"> Santos (2019), governança pública refere-se às estruturas formais e informais que viabilizam negociação de interesses entre Estado e atores sociais, priorizando o coletivo. Para Cunha e Bastos (2017), se o processo decisório participativo inclui recursos naturais, trata-se de governança ambiental. Já </w:t>
      </w:r>
      <w:r w:rsidR="007121A6" w:rsidRPr="00F95BC7">
        <w:rPr>
          <w:rFonts w:ascii="Times New Roman" w:eastAsia="Times New Roman" w:hAnsi="Times New Roman" w:cs="Times New Roman"/>
          <w:sz w:val="24"/>
          <w:szCs w:val="24"/>
        </w:rPr>
        <w:t xml:space="preserve">a </w:t>
      </w:r>
      <w:r w:rsidR="004F6FC7" w:rsidRPr="00F95BC7">
        <w:rPr>
          <w:rFonts w:ascii="Times New Roman" w:eastAsia="Times New Roman" w:hAnsi="Times New Roman" w:cs="Times New Roman"/>
          <w:sz w:val="24"/>
          <w:szCs w:val="24"/>
        </w:rPr>
        <w:t xml:space="preserve">governança municipal está relacionada com o espaço do município, podendo haver grupos de gestão local (GRIN; ABRUCIO, 2019). Segundo Corralo (2014), o município é indutor do desenvolvimento sustentável, da justiça social e intervenção das práticas econômicas. </w:t>
      </w:r>
    </w:p>
    <w:p w14:paraId="3BB421E5" w14:textId="77777777"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Corralo (2014) argumenta que a governança municipal requer a articulação mínima de quatro dimensões que devem estar presentes num apoio mútuo: Estado de Direito, transparência, </w:t>
      </w:r>
      <w:r w:rsidRPr="00F95BC7">
        <w:rPr>
          <w:rFonts w:ascii="Times New Roman" w:eastAsia="Times New Roman" w:hAnsi="Times New Roman" w:cs="Times New Roman"/>
          <w:i/>
          <w:sz w:val="24"/>
          <w:szCs w:val="24"/>
        </w:rPr>
        <w:t>accountability</w:t>
      </w:r>
      <w:r w:rsidRPr="00F95BC7">
        <w:rPr>
          <w:rFonts w:ascii="Times New Roman" w:eastAsia="Times New Roman" w:hAnsi="Times New Roman" w:cs="Times New Roman"/>
          <w:sz w:val="24"/>
          <w:szCs w:val="24"/>
        </w:rPr>
        <w:t xml:space="preserve"> e democracia participativa. Ou seja, a governança municipal pode ser compreendida como o processo de articulação das instituições públicas municipais com diferentes atores, como a sociedade civil, comunidade, órgãos estaduais e federais e empresas privadas. Portanto, a governança municipal atrela-se ao processo multiparticipativo no governo local. Simonian e Araújo (2016) revelam que a governança nas ações públicas acerca do meio ambiente tem como referência a participação dos atores e instituições sociais governamentais e não governamentais.</w:t>
      </w:r>
    </w:p>
    <w:p w14:paraId="088534B2" w14:textId="77777777"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Conselhos municipais, orçamento participativo e conferências de políticas públicas são instâncias de debate entre diversos atores, espaços híbridos de deliberação da ação pública (SILVA E BRASIL, 2008). Os conselhos gestores das UC são espaços deliberativos e/ou consultivos que possibilitam negociação entre atores e governo local. Grin e Abrucio (2019) explicam que o município sozinho não consegue aproveitar todas as potencialidades locais sem incluir outros atores. </w:t>
      </w:r>
    </w:p>
    <w:p w14:paraId="794356B8" w14:textId="77777777"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lastRenderedPageBreak/>
        <w:t xml:space="preserve">As UC brasileiras são regulamentadas pelo Sistema Nacional de Unidades de Conservação (SNUC), por meio da Lei nº 9.985, de 18 de julho de 2000. São classificadas como espaços territoriais com características naturais relevantes, que têm como função assegurar a representatividade de amostras significativas e ecologicamente viáveis das diferentes populações, habitats e ecossistemas do território e das águas jurisdicionais brasileiras (BRASIL, 2004). Estes espaços visam a preservação do patrimônio biológico existente, divididos em dois grupos: Unidades de Proteção Integral e Unidades de Uso Sustentável, diferenciadas pela maneira que os recursos naturais são utilizados. </w:t>
      </w:r>
    </w:p>
    <w:p w14:paraId="2762CAAE" w14:textId="5C839972"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Segundo o Ministério do Meio Ambiente (2019), a primeira refere-se ao uso indireto dos recursos naturais, com</w:t>
      </w:r>
      <w:r w:rsidR="005E66E3" w:rsidRPr="00F95BC7">
        <w:rPr>
          <w:rFonts w:ascii="Times New Roman" w:eastAsia="Times New Roman" w:hAnsi="Times New Roman" w:cs="Times New Roman"/>
          <w:sz w:val="24"/>
          <w:szCs w:val="24"/>
        </w:rPr>
        <w:t>o</w:t>
      </w:r>
      <w:r w:rsidRPr="00F95BC7">
        <w:rPr>
          <w:rFonts w:ascii="Times New Roman" w:eastAsia="Times New Roman" w:hAnsi="Times New Roman" w:cs="Times New Roman"/>
          <w:sz w:val="24"/>
          <w:szCs w:val="24"/>
        </w:rPr>
        <w:t xml:space="preserve"> recreação em contato com a natureza, turismo ecológico, pesquisa científica e educação ambiental. São categorias de proteção integral: estação ecológica, reserva biológica, parque nacional, monumento natural e refúgio de vida silvestre. Já a segunda visa conciliar a conservação da natureza com o uso sustentável dos recursos naturais. São categorias de uso sustentável: área de relevante interesse ecológico, floresta nacional, reserva de fauna, reserva de desenvolvimento sustentável, reserva extrativista, área de proteção ambiental e reserva particular do patrimônio natural.</w:t>
      </w:r>
    </w:p>
    <w:p w14:paraId="1406362D" w14:textId="49210FC9"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SNUC propõe avanços nas legislações anteriores sobre áreas protegidas no Brasil (MMA, 2015), principalmente por incorporar a participação popular na criação, implantação e gestão dessas áreas e ao legitimar a presença das populações tradicionais ou locais em áreas de preservação. Naturalmente, as UC deveriam estimular a participação da sociedade nas decisões tomadas no seu interior, especialmente a estrutura organizacional, como o conselho gestor para as UC. A </w:t>
      </w:r>
      <w:r w:rsidR="00E87D63" w:rsidRPr="00F95BC7">
        <w:rPr>
          <w:rFonts w:ascii="Times New Roman" w:eastAsia="Times New Roman" w:hAnsi="Times New Roman" w:cs="Times New Roman"/>
          <w:sz w:val="24"/>
          <w:szCs w:val="24"/>
        </w:rPr>
        <w:t>motivação para criação</w:t>
      </w:r>
      <w:r w:rsidRPr="00F95BC7">
        <w:rPr>
          <w:rFonts w:ascii="Times New Roman" w:eastAsia="Times New Roman" w:hAnsi="Times New Roman" w:cs="Times New Roman"/>
          <w:sz w:val="24"/>
          <w:szCs w:val="24"/>
        </w:rPr>
        <w:t xml:space="preserve"> de UC pode ocorrer de duas maneiras, por pleito social ou por intervenção governamental.</w:t>
      </w:r>
    </w:p>
    <w:p w14:paraId="4D592255"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Para pensar em mecanismos que proporcionem uma democracia social mais justa é necessário trazer as pessoas para a esfera pública (BAQUERO; BAQUERO, 2007; SIMONIAN, 2018). Neste debate, de acordo com Daniel Cefaï (2017), a noção de arena pública refere-se a um espaço de confrontação entre diferentes posições a respeito de um problema público comum, visando interpretá-lo e estabilizá-lo. No Brasil, a consolidação de espaços públicos participativos não é algo simples, mas a existência deles já se constitui como avanço democrático (JACOBI, 2003). No caso das UC, os conselhos consultivos e deliberativos são instrumentos importantes.</w:t>
      </w:r>
    </w:p>
    <w:p w14:paraId="6F86E361" w14:textId="1AA38C83"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Nesta direção, Simonian (2018) traz para debate a relação entre as categorias </w:t>
      </w:r>
      <w:r w:rsidR="00BF6974"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políticas públicas</w:t>
      </w:r>
      <w:r w:rsidR="00BF6974"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e </w:t>
      </w:r>
      <w:r w:rsidR="00BF6974"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participação social</w:t>
      </w:r>
      <w:r w:rsidR="00BF6974"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a partir das experiências permeadas pela resistência de extrativistas, agroextrativistas, indígenas e ribeirinhos amazônidas</w:t>
      </w:r>
      <w:r w:rsidR="005E66E3"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envolvendo, principalmente, as reservas </w:t>
      </w:r>
      <w:r w:rsidRPr="00F95BC7">
        <w:rPr>
          <w:rFonts w:ascii="Times New Roman" w:eastAsia="Times New Roman" w:hAnsi="Times New Roman" w:cs="Times New Roman"/>
          <w:sz w:val="24"/>
          <w:szCs w:val="24"/>
        </w:rPr>
        <w:lastRenderedPageBreak/>
        <w:t>extrativistas (RESEX). Depois de explicitar a “vulnerabilidade extrema” dessas populações e das áreas que ocupavam, em especial a partir da invasão de terras e destruição da floresta pelo poder do capital, nos anos 1980 e 1990, a autora discute possibilidades de superação. Dentre as referidas, são ressaltadas a necessidade de fortalecer sindicatos, associações e cooperativas, assim como garantir educação de qualidade e a profissionalização entre as crianças, a juventude e mesmo os adultos.</w:t>
      </w:r>
    </w:p>
    <w:p w14:paraId="488AFABF" w14:textId="16C2466F" w:rsidR="00927428" w:rsidRPr="00F95BC7" w:rsidRDefault="00927428" w:rsidP="00927428">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Já </w:t>
      </w:r>
      <w:r w:rsidR="004F6FC7" w:rsidRPr="00F95BC7">
        <w:rPr>
          <w:rFonts w:ascii="Times New Roman" w:eastAsia="Times New Roman" w:hAnsi="Times New Roman" w:cs="Times New Roman"/>
          <w:sz w:val="24"/>
          <w:szCs w:val="24"/>
        </w:rPr>
        <w:t>Baquero e Baquero (2017) esclarecem que países latino-americanos apresentam processo acelerado de desagregação da vida social, pois os recursos econômicos para satisfazer demandas materiais básicas da sociedade são insuficientes. Ocorre também a aplicação errada dos recursos disponíveis, não levando em consideração a realidade local</w:t>
      </w:r>
      <w:r w:rsidR="00BF6974" w:rsidRPr="00F95BC7">
        <w:rPr>
          <w:rFonts w:ascii="Times New Roman" w:eastAsia="Times New Roman" w:hAnsi="Times New Roman" w:cs="Times New Roman"/>
          <w:sz w:val="24"/>
          <w:szCs w:val="24"/>
        </w:rPr>
        <w:t>.</w:t>
      </w:r>
      <w:r w:rsidR="004F6FC7" w:rsidRPr="00F95BC7">
        <w:rPr>
          <w:rFonts w:ascii="Times New Roman" w:eastAsia="Times New Roman" w:hAnsi="Times New Roman" w:cs="Times New Roman"/>
          <w:sz w:val="24"/>
          <w:szCs w:val="24"/>
        </w:rPr>
        <w:t xml:space="preserve"> Assim, o desnível entre força social e o poder público prejudica o debate entre atores, pois limita os indivíduos nos processos democráticos. A Amazônia brasileira, como parte da América Latina, sofre destas características. </w:t>
      </w:r>
      <w:bookmarkStart w:id="1" w:name="_heading=h.gjdgxs" w:colFirst="0" w:colLast="0"/>
      <w:bookmarkEnd w:id="1"/>
    </w:p>
    <w:p w14:paraId="24CDEB8A" w14:textId="0620D3F5" w:rsidR="003137C0" w:rsidRPr="00F95BC7" w:rsidRDefault="004F6FC7" w:rsidP="00210AFE">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Ortega y Gasset (2007)</w:t>
      </w:r>
      <w:r w:rsidR="00927428" w:rsidRPr="00F95BC7">
        <w:rPr>
          <w:rFonts w:ascii="Times New Roman" w:eastAsia="Times New Roman" w:hAnsi="Times New Roman" w:cs="Times New Roman"/>
          <w:sz w:val="24"/>
          <w:szCs w:val="24"/>
        </w:rPr>
        <w:t xml:space="preserve"> entende que</w:t>
      </w:r>
      <w:r w:rsidRPr="00F95BC7">
        <w:rPr>
          <w:rFonts w:ascii="Times New Roman" w:eastAsia="Times New Roman" w:hAnsi="Times New Roman" w:cs="Times New Roman"/>
          <w:sz w:val="24"/>
          <w:szCs w:val="24"/>
        </w:rPr>
        <w:t xml:space="preserve"> as limitações indicam: pensamento comum ou genérico; medo; violência na resolução de problemas; falta de conhecimento aprofundado sobre assuntos do setor público; teocentrismo como base para explicação; valorização da comunicação de massa. Obstáculos que propiciam atuação de grupos oportunistas, cooptando cidadãos para seus interesses.</w:t>
      </w:r>
    </w:p>
    <w:p w14:paraId="0AD1C4CF" w14:textId="380E56DF"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Assim, mecanismos que possibilitem melhor compreensão do cidadão sobre assuntos públicos e dissolvam estruturas de cooptação nos municípios ampliam a participação social, permitindo maior diálogo entre diferentes interesses. Neste ponto, cabe destacar que “quem pode estruturar e viabilizar a participação social é o Estado, que é uma ordem técnica - pública e de administração” (ORTEGA Y GASSET, 2007, p. 153), mas deve ser estimulado pelos cidadãos. Por isso, conselhos consultivos e/ou deliberativos são espaços que possibilitam o diálogo entre atores a respeito da UC. </w:t>
      </w:r>
    </w:p>
    <w:p w14:paraId="2C77EB1A" w14:textId="77777777" w:rsidR="003137C0" w:rsidRPr="00F95BC7" w:rsidRDefault="004F6FC7" w:rsidP="000A4A5B">
      <w:pPr>
        <w:pStyle w:val="PargrafodaLista"/>
        <w:numPr>
          <w:ilvl w:val="0"/>
          <w:numId w:val="1"/>
        </w:numPr>
        <w:spacing w:after="0" w:line="360" w:lineRule="auto"/>
        <w:outlineLvl w:val="0"/>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UNIDADES DE CONSERVAÇÃO DE ANANINDEUA </w:t>
      </w:r>
    </w:p>
    <w:p w14:paraId="0F831D3D" w14:textId="77777777" w:rsidR="003137C0" w:rsidRPr="00F95BC7" w:rsidRDefault="004F6FC7">
      <w:pPr>
        <w:spacing w:after="0" w:line="360" w:lineRule="auto"/>
        <w:ind w:firstLine="708"/>
        <w:jc w:val="both"/>
        <w:rPr>
          <w:rFonts w:ascii="Times New Roman" w:eastAsia="Times New Roman" w:hAnsi="Times New Roman" w:cs="Times New Roman"/>
          <w:bCs/>
          <w:sz w:val="24"/>
          <w:szCs w:val="24"/>
        </w:rPr>
      </w:pPr>
      <w:r w:rsidRPr="00F95BC7">
        <w:rPr>
          <w:rFonts w:ascii="Times New Roman" w:eastAsia="Times New Roman" w:hAnsi="Times New Roman" w:cs="Times New Roman"/>
          <w:sz w:val="24"/>
          <w:szCs w:val="24"/>
        </w:rPr>
        <w:t>Ananindeua possui em seu território cinco unidades de conservação (UC). Três de gestão estadual:</w:t>
      </w:r>
      <w:r w:rsidRPr="00F95BC7">
        <w:rPr>
          <w:rFonts w:ascii="Times New Roman" w:eastAsia="Times New Roman" w:hAnsi="Times New Roman" w:cs="Times New Roman"/>
          <w:bCs/>
          <w:sz w:val="24"/>
          <w:szCs w:val="24"/>
        </w:rPr>
        <w:t xml:space="preserve"> Área de Proteção Ambiental Metropolitana de Belém, Refúgio de Vida Silvestre Metrópole da Amazonia e Parque Estadual do Utinga (Figura 1). Duas são de gestão municipal: Parque Ambiental Antônio Danúbio Lourenço de Souza e Museu Parque do Seringal (Figuras 2 e 3).</w:t>
      </w:r>
    </w:p>
    <w:p w14:paraId="34056A01" w14:textId="77777777" w:rsidR="003137C0" w:rsidRPr="00F95BC7" w:rsidRDefault="004F6FC7" w:rsidP="00E87D63">
      <w:pPr>
        <w:spacing w:after="0" w:line="240" w:lineRule="auto"/>
        <w:ind w:firstLine="709"/>
        <w:rPr>
          <w:rFonts w:ascii="Times New Roman" w:eastAsia="Times New Roman" w:hAnsi="Times New Roman" w:cs="Times New Roman"/>
          <w:sz w:val="24"/>
          <w:szCs w:val="24"/>
        </w:rPr>
      </w:pPr>
      <w:r w:rsidRPr="00F95BC7">
        <w:rPr>
          <w:rFonts w:ascii="Times New Roman" w:eastAsia="Times New Roman" w:hAnsi="Times New Roman" w:cs="Times New Roman"/>
          <w:b/>
          <w:sz w:val="24"/>
          <w:szCs w:val="24"/>
        </w:rPr>
        <w:t>Figura 1</w:t>
      </w:r>
      <w:r w:rsidRPr="00F95BC7">
        <w:rPr>
          <w:rFonts w:ascii="Times New Roman" w:eastAsia="Times New Roman" w:hAnsi="Times New Roman" w:cs="Times New Roman"/>
          <w:sz w:val="24"/>
          <w:szCs w:val="24"/>
        </w:rPr>
        <w:t xml:space="preserve"> – Mapa das UC de gestão estadual</w:t>
      </w:r>
    </w:p>
    <w:p w14:paraId="4EC06EB8" w14:textId="77777777" w:rsidR="003137C0" w:rsidRPr="00F95BC7" w:rsidRDefault="004F6FC7">
      <w:pPr>
        <w:spacing w:after="0" w:line="240" w:lineRule="auto"/>
        <w:jc w:val="center"/>
        <w:rPr>
          <w:rFonts w:ascii="Times New Roman" w:eastAsia="Times New Roman" w:hAnsi="Times New Roman" w:cs="Times New Roman"/>
          <w:sz w:val="20"/>
          <w:szCs w:val="20"/>
        </w:rPr>
      </w:pPr>
      <w:r w:rsidRPr="00F95BC7">
        <w:rPr>
          <w:rFonts w:ascii="Times New Roman" w:hAnsi="Times New Roman" w:cs="Times New Roman"/>
          <w:noProof/>
        </w:rPr>
        <w:drawing>
          <wp:inline distT="0" distB="0" distL="0" distR="0" wp14:anchorId="5EC99F1A" wp14:editId="5083F2D9">
            <wp:extent cx="5669280" cy="133700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rcRect l="28840" t="38377"/>
                    <a:stretch>
                      <a:fillRect/>
                    </a:stretch>
                  </pic:blipFill>
                  <pic:spPr>
                    <a:xfrm>
                      <a:off x="0" y="0"/>
                      <a:ext cx="5792130" cy="1365978"/>
                    </a:xfrm>
                    <a:prstGeom prst="rect">
                      <a:avLst/>
                    </a:prstGeom>
                    <a:ln>
                      <a:noFill/>
                    </a:ln>
                  </pic:spPr>
                </pic:pic>
              </a:graphicData>
            </a:graphic>
          </wp:inline>
        </w:drawing>
      </w:r>
    </w:p>
    <w:p w14:paraId="47647830" w14:textId="77777777" w:rsidR="003137C0" w:rsidRPr="00F95BC7" w:rsidRDefault="004F6FC7">
      <w:pPr>
        <w:spacing w:after="0" w:line="360" w:lineRule="auto"/>
        <w:ind w:firstLine="708"/>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Fonte: ISA, 2020.</w:t>
      </w:r>
    </w:p>
    <w:p w14:paraId="7463A020" w14:textId="77777777" w:rsidR="003137C0" w:rsidRPr="00F95BC7" w:rsidRDefault="004F6FC7">
      <w:pPr>
        <w:pStyle w:val="Ttulo1"/>
        <w:spacing w:before="0" w:line="360" w:lineRule="auto"/>
        <w:ind w:firstLine="708"/>
        <w:rPr>
          <w:rFonts w:ascii="Times New Roman" w:eastAsia="Times New Roman" w:hAnsi="Times New Roman" w:cs="Times New Roman"/>
          <w:b/>
          <w:color w:val="auto"/>
          <w:sz w:val="24"/>
          <w:szCs w:val="24"/>
        </w:rPr>
      </w:pPr>
      <w:r w:rsidRPr="00F95BC7">
        <w:rPr>
          <w:rFonts w:ascii="Times New Roman" w:eastAsia="Times New Roman" w:hAnsi="Times New Roman" w:cs="Times New Roman"/>
          <w:b/>
          <w:color w:val="auto"/>
          <w:sz w:val="24"/>
          <w:szCs w:val="24"/>
        </w:rPr>
        <w:lastRenderedPageBreak/>
        <w:t>Área de Proteção Ambiental Metropolitana de Belém – APA Belém</w:t>
      </w:r>
    </w:p>
    <w:p w14:paraId="2D02F1E6"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Criada por meio do Decreto Estadual nº 1.551/1993, possui área territorial de 7.457,50 ha, sendo 59,49% em Belém e 40,51% em Ananindeua (IDEFLOR-BIO, 2020). Segundo Cabral (2014), a origem da APA Belém tem relação com às mudanças espaciais no entorno das bacias hidrográficas dos lagos Bolonha e Água Preta e do rio Aurá, nas décadas de 1980 e 1990, intensificando a aplicação de medidas de proteção e conservação para o ambiente dos lagos pelo governo estadual.</w:t>
      </w:r>
    </w:p>
    <w:p w14:paraId="6506CB36"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Por ser área de uso sustentável, é permitido o uso dos recursos naturais, desde que existam práticas sustentáveis. Segundo o IDEFLOR-BIO (2020), a UC desenvolve atividades de ensino acadêmico e pesquisa</w:t>
      </w:r>
      <w:r w:rsidRPr="00F95BC7">
        <w:rPr>
          <w:rFonts w:ascii="Times New Roman" w:eastAsia="Times New Roman" w:hAnsi="Times New Roman" w:cs="Times New Roman"/>
          <w:sz w:val="24"/>
          <w:szCs w:val="24"/>
          <w:vertAlign w:val="superscript"/>
        </w:rPr>
        <w:footnoteReference w:id="3"/>
      </w:r>
      <w:r w:rsidRPr="00F95BC7">
        <w:rPr>
          <w:rFonts w:ascii="Times New Roman" w:eastAsia="Times New Roman" w:hAnsi="Times New Roman" w:cs="Times New Roman"/>
          <w:sz w:val="24"/>
          <w:szCs w:val="24"/>
        </w:rPr>
        <w:t>, serviços institucionais</w:t>
      </w:r>
      <w:r w:rsidRPr="00F95BC7">
        <w:rPr>
          <w:rFonts w:ascii="Times New Roman" w:eastAsia="Times New Roman" w:hAnsi="Times New Roman" w:cs="Times New Roman"/>
          <w:sz w:val="24"/>
          <w:szCs w:val="24"/>
          <w:vertAlign w:val="superscript"/>
        </w:rPr>
        <w:footnoteReference w:id="4"/>
      </w:r>
      <w:r w:rsidRPr="00F95BC7">
        <w:rPr>
          <w:rFonts w:ascii="Times New Roman" w:eastAsia="Times New Roman" w:hAnsi="Times New Roman" w:cs="Times New Roman"/>
          <w:sz w:val="24"/>
          <w:szCs w:val="24"/>
        </w:rPr>
        <w:t xml:space="preserve"> e abastecimento alimentar (CEASA), lazer e esportes</w:t>
      </w:r>
      <w:r w:rsidRPr="00F95BC7">
        <w:rPr>
          <w:rFonts w:ascii="Times New Roman" w:eastAsia="Times New Roman" w:hAnsi="Times New Roman" w:cs="Times New Roman"/>
          <w:sz w:val="24"/>
          <w:szCs w:val="24"/>
          <w:vertAlign w:val="superscript"/>
        </w:rPr>
        <w:footnoteReference w:id="5"/>
      </w:r>
      <w:r w:rsidRPr="00F95BC7">
        <w:rPr>
          <w:rFonts w:ascii="Times New Roman" w:eastAsia="Times New Roman" w:hAnsi="Times New Roman" w:cs="Times New Roman"/>
          <w:sz w:val="24"/>
          <w:szCs w:val="24"/>
        </w:rPr>
        <w:t xml:space="preserve"> e valorização cultural</w:t>
      </w:r>
      <w:r w:rsidRPr="00F95BC7">
        <w:rPr>
          <w:rFonts w:ascii="Times New Roman" w:eastAsia="Times New Roman" w:hAnsi="Times New Roman" w:cs="Times New Roman"/>
          <w:sz w:val="24"/>
          <w:szCs w:val="24"/>
          <w:vertAlign w:val="superscript"/>
        </w:rPr>
        <w:footnoteReference w:id="6"/>
      </w:r>
      <w:r w:rsidRPr="00F95BC7">
        <w:rPr>
          <w:rFonts w:ascii="Times New Roman" w:eastAsia="Times New Roman" w:hAnsi="Times New Roman" w:cs="Times New Roman"/>
          <w:sz w:val="24"/>
          <w:szCs w:val="24"/>
        </w:rPr>
        <w:t>. No entanto, Cabral (2014) destaca que a APA ainda não efetivou uma rede de articulação de atores sociais com o objetivo de um projeto sustentável comum. Órgãos gestores da UC e moradores precisam avançar na busca de uma administração democrática e participativa.</w:t>
      </w:r>
    </w:p>
    <w:p w14:paraId="50AEBB78" w14:textId="33DA8286"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Em consulta ao sítio eletrônico do IDEFLOR-BIO (2020), verificou-se que a primeira assembleia do conselho gestor ocorreu em 28/09/2017. A portaria de criação do conselho gestor da APA foi publicada em 19/12/2017, composta por nove assentos para a administração pública e nove para a sociedade civil. Os assentos da administração pública são ocupados por representantes do Instituto de Desenvolvimento Florestal e da Biodiversidade do Estado do Pará (IDEFLOR-BIO), Companhia de Desenvolvimento e Administração da Área Metropolitana de Belém (CODEM), Defensoria Pública do Estado do Pará, Empresa de Assistência Técnica e Extensão Rural do Estado do Pará (EMATER), Empresa Brasileira de Pesquisa Agropecuária (EMBRAPA), Museu Paraense Emílio Goeldi (MPEG), Núcleo de Altos Estudos Amazônicos (NAEA), Secretaria Municipal de Meio Ambiente-Ananindeua (SEMA) e Secretaria Municipal de Meio Ambiente-Belém (SEMMA)</w:t>
      </w:r>
      <w:r w:rsidR="001D204D" w:rsidRPr="00F95BC7">
        <w:rPr>
          <w:rFonts w:ascii="Times New Roman" w:eastAsia="Times New Roman" w:hAnsi="Times New Roman" w:cs="Times New Roman"/>
          <w:sz w:val="24"/>
          <w:szCs w:val="24"/>
        </w:rPr>
        <w:t>.</w:t>
      </w:r>
    </w:p>
    <w:p w14:paraId="5A5AD72A"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 sociedade civil é representada por: Associação de Moradores e Produtores Rurais Quilombolas de Abacatal/Aurá; Associação Amigos da Floresta Amazônica (ASFLORA); Associação de Educação, Cultura, Proteção e Defesa do Consumidor (ADECAM); Associação </w:t>
      </w:r>
      <w:r w:rsidRPr="00F95BC7">
        <w:rPr>
          <w:rFonts w:ascii="Times New Roman" w:eastAsia="Times New Roman" w:hAnsi="Times New Roman" w:cs="Times New Roman"/>
          <w:sz w:val="24"/>
          <w:szCs w:val="24"/>
        </w:rPr>
        <w:lastRenderedPageBreak/>
        <w:t xml:space="preserve">Argonautas Ambientalistas da Amazônia; Associação de Moradores dos Conjuntos Verdejantes I, II, III; Instituto Cultural Comunitário </w:t>
      </w:r>
      <w:proofErr w:type="spellStart"/>
      <w:r w:rsidRPr="00F95BC7">
        <w:rPr>
          <w:rFonts w:ascii="Times New Roman" w:eastAsia="Times New Roman" w:hAnsi="Times New Roman" w:cs="Times New Roman"/>
          <w:sz w:val="24"/>
          <w:szCs w:val="24"/>
        </w:rPr>
        <w:t>Sucuritiba</w:t>
      </w:r>
      <w:proofErr w:type="spellEnd"/>
      <w:r w:rsidRPr="00F95BC7">
        <w:rPr>
          <w:rFonts w:ascii="Times New Roman" w:eastAsia="Times New Roman" w:hAnsi="Times New Roman" w:cs="Times New Roman"/>
          <w:sz w:val="24"/>
          <w:szCs w:val="24"/>
        </w:rPr>
        <w:t xml:space="preserve">; Organização não Governamental </w:t>
      </w:r>
      <w:proofErr w:type="spellStart"/>
      <w:r w:rsidRPr="00F95BC7">
        <w:rPr>
          <w:rFonts w:ascii="Times New Roman" w:eastAsia="Times New Roman" w:hAnsi="Times New Roman" w:cs="Times New Roman"/>
          <w:sz w:val="24"/>
          <w:szCs w:val="24"/>
        </w:rPr>
        <w:t>Noolhar</w:t>
      </w:r>
      <w:proofErr w:type="spellEnd"/>
      <w:r w:rsidRPr="00F95BC7">
        <w:rPr>
          <w:rFonts w:ascii="Times New Roman" w:eastAsia="Times New Roman" w:hAnsi="Times New Roman" w:cs="Times New Roman"/>
          <w:sz w:val="24"/>
          <w:szCs w:val="24"/>
        </w:rPr>
        <w:t xml:space="preserve">; Organização não Governamental </w:t>
      </w:r>
      <w:proofErr w:type="spellStart"/>
      <w:r w:rsidRPr="00F95BC7">
        <w:rPr>
          <w:rFonts w:ascii="Times New Roman" w:eastAsia="Times New Roman" w:hAnsi="Times New Roman" w:cs="Times New Roman"/>
          <w:sz w:val="24"/>
          <w:szCs w:val="24"/>
        </w:rPr>
        <w:t>Namazônia</w:t>
      </w:r>
      <w:proofErr w:type="spellEnd"/>
      <w:r w:rsidRPr="00F95BC7">
        <w:rPr>
          <w:rFonts w:ascii="Times New Roman" w:eastAsia="Times New Roman" w:hAnsi="Times New Roman" w:cs="Times New Roman"/>
          <w:sz w:val="24"/>
          <w:szCs w:val="24"/>
        </w:rPr>
        <w:t>; Organização não Governamental Ambientalistas Anani e Rede Paraense de Educação Ambiental (REDEPEA).</w:t>
      </w:r>
    </w:p>
    <w:p w14:paraId="73AE8611" w14:textId="0CD0E627" w:rsidR="00C71562"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Após nomeação do conselho gestor foram realizadas seis reuniões ordinárias e uma extraordinária, em 2018 e 2019. Em 2020, não houve publicação de atas</w:t>
      </w:r>
      <w:r w:rsidRPr="00F95BC7">
        <w:rPr>
          <w:rFonts w:ascii="Times New Roman" w:eastAsia="Times New Roman" w:hAnsi="Times New Roman" w:cs="Times New Roman"/>
          <w:sz w:val="24"/>
          <w:szCs w:val="24"/>
          <w:vertAlign w:val="superscript"/>
        </w:rPr>
        <w:footnoteReference w:id="7"/>
      </w:r>
      <w:r w:rsidRPr="00F95BC7">
        <w:rPr>
          <w:rFonts w:ascii="Times New Roman" w:eastAsia="Times New Roman" w:hAnsi="Times New Roman" w:cs="Times New Roman"/>
          <w:sz w:val="24"/>
          <w:szCs w:val="24"/>
        </w:rPr>
        <w:t xml:space="preserve">. </w:t>
      </w:r>
      <w:r w:rsidR="00C71562" w:rsidRPr="00F95BC7">
        <w:rPr>
          <w:rFonts w:ascii="Times New Roman" w:eastAsia="Times New Roman" w:hAnsi="Times New Roman" w:cs="Times New Roman"/>
          <w:sz w:val="24"/>
          <w:szCs w:val="24"/>
        </w:rPr>
        <w:t>Destaca-se que no exercício de 2020 houve proibição de toda e qualquer reunião presencial (pública ou privada) inclusive de pessoas da mesma família que não coabitem, independentemente do número de pessoas, em virtude da pandemia da COVID-19. No estado do Pará</w:t>
      </w:r>
      <w:r w:rsidR="004A11EE" w:rsidRPr="00F95BC7">
        <w:rPr>
          <w:rFonts w:ascii="Times New Roman" w:eastAsia="Times New Roman" w:hAnsi="Times New Roman" w:cs="Times New Roman"/>
          <w:sz w:val="24"/>
          <w:szCs w:val="24"/>
        </w:rPr>
        <w:t>,</w:t>
      </w:r>
      <w:r w:rsidR="00C71562" w:rsidRPr="00F95BC7">
        <w:rPr>
          <w:rFonts w:ascii="Times New Roman" w:eastAsia="Times New Roman" w:hAnsi="Times New Roman" w:cs="Times New Roman"/>
          <w:sz w:val="24"/>
          <w:szCs w:val="24"/>
        </w:rPr>
        <w:t xml:space="preserve"> inicialmente estas restrições ocorreram por meio do Decreto Estadual nº 609, de 16 de abril de 2020, e em seguida pelo projeto </w:t>
      </w:r>
      <w:proofErr w:type="spellStart"/>
      <w:r w:rsidR="00C71562" w:rsidRPr="00F95BC7">
        <w:rPr>
          <w:rFonts w:ascii="Times New Roman" w:eastAsia="Times New Roman" w:hAnsi="Times New Roman" w:cs="Times New Roman"/>
          <w:sz w:val="24"/>
          <w:szCs w:val="24"/>
        </w:rPr>
        <w:t>Retomapará</w:t>
      </w:r>
      <w:proofErr w:type="spellEnd"/>
      <w:r w:rsidR="00C71562" w:rsidRPr="00F95BC7">
        <w:rPr>
          <w:rFonts w:ascii="Times New Roman" w:eastAsia="Times New Roman" w:hAnsi="Times New Roman" w:cs="Times New Roman"/>
          <w:sz w:val="24"/>
          <w:szCs w:val="24"/>
        </w:rPr>
        <w:t>, criado a partir do Decreto Estadual nº 800, de 3 de maio de 2020.</w:t>
      </w:r>
    </w:p>
    <w:p w14:paraId="34B323B1" w14:textId="77777777" w:rsidR="003137C0" w:rsidRPr="00F95BC7" w:rsidRDefault="004F6FC7" w:rsidP="00060DD1">
      <w:pPr>
        <w:spacing w:after="0" w:line="240" w:lineRule="auto"/>
        <w:ind w:firstLine="709"/>
        <w:jc w:val="both"/>
        <w:rPr>
          <w:rFonts w:ascii="Times New Roman" w:eastAsia="Times New Roman" w:hAnsi="Times New Roman" w:cs="Times New Roman"/>
          <w:sz w:val="24"/>
          <w:szCs w:val="24"/>
        </w:rPr>
      </w:pPr>
      <w:r w:rsidRPr="00F95BC7">
        <w:rPr>
          <w:rFonts w:ascii="Times New Roman" w:eastAsia="Times New Roman" w:hAnsi="Times New Roman" w:cs="Times New Roman"/>
          <w:b/>
          <w:sz w:val="24"/>
          <w:szCs w:val="24"/>
        </w:rPr>
        <w:t>Quadro 01:</w:t>
      </w:r>
      <w:r w:rsidRPr="00F95BC7">
        <w:rPr>
          <w:rFonts w:ascii="Times New Roman" w:eastAsia="Times New Roman" w:hAnsi="Times New Roman" w:cs="Times New Roman"/>
          <w:sz w:val="24"/>
          <w:szCs w:val="24"/>
        </w:rPr>
        <w:t xml:space="preserve"> Quantitativo de conselheiros por reuniões do conselho gestor APA Belém</w:t>
      </w:r>
    </w:p>
    <w:tbl>
      <w:tblPr>
        <w:tblW w:w="9634" w:type="dxa"/>
        <w:tblCellMar>
          <w:left w:w="70" w:type="dxa"/>
          <w:right w:w="70" w:type="dxa"/>
        </w:tblCellMar>
        <w:tblLook w:val="04A0" w:firstRow="1" w:lastRow="0" w:firstColumn="1" w:lastColumn="0" w:noHBand="0" w:noVBand="1"/>
      </w:tblPr>
      <w:tblGrid>
        <w:gridCol w:w="2122"/>
        <w:gridCol w:w="7512"/>
      </w:tblGrid>
      <w:tr w:rsidR="00F95BC7" w:rsidRPr="00F95BC7" w14:paraId="7F62AF0F" w14:textId="77777777" w:rsidTr="00A60268">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FBCB5" w14:textId="77777777" w:rsidR="00A60268" w:rsidRPr="00A60268" w:rsidRDefault="00A60268" w:rsidP="00A60268">
            <w:pPr>
              <w:spacing w:after="0" w:line="240" w:lineRule="auto"/>
              <w:jc w:val="center"/>
              <w:rPr>
                <w:rFonts w:ascii="Times New Roman" w:eastAsia="Times New Roman" w:hAnsi="Times New Roman" w:cs="Times New Roman"/>
                <w:b/>
                <w:bCs/>
                <w:sz w:val="20"/>
                <w:szCs w:val="20"/>
              </w:rPr>
            </w:pPr>
            <w:r w:rsidRPr="00A60268">
              <w:rPr>
                <w:rFonts w:ascii="Times New Roman" w:eastAsia="Times New Roman" w:hAnsi="Times New Roman" w:cs="Times New Roman"/>
                <w:b/>
                <w:bCs/>
                <w:sz w:val="20"/>
                <w:szCs w:val="20"/>
              </w:rPr>
              <w:t>Reunião</w:t>
            </w:r>
          </w:p>
        </w:tc>
        <w:tc>
          <w:tcPr>
            <w:tcW w:w="7512" w:type="dxa"/>
            <w:tcBorders>
              <w:top w:val="single" w:sz="4" w:space="0" w:color="000000"/>
              <w:left w:val="nil"/>
              <w:bottom w:val="single" w:sz="4" w:space="0" w:color="000000"/>
              <w:right w:val="single" w:sz="4" w:space="0" w:color="000000"/>
            </w:tcBorders>
            <w:shd w:val="clear" w:color="auto" w:fill="auto"/>
            <w:vAlign w:val="center"/>
            <w:hideMark/>
          </w:tcPr>
          <w:p w14:paraId="08174299" w14:textId="77777777" w:rsidR="00A60268" w:rsidRPr="00A60268" w:rsidRDefault="00A60268" w:rsidP="00A60268">
            <w:pPr>
              <w:spacing w:after="0" w:line="240" w:lineRule="auto"/>
              <w:jc w:val="center"/>
              <w:rPr>
                <w:rFonts w:ascii="Times New Roman" w:eastAsia="Times New Roman" w:hAnsi="Times New Roman" w:cs="Times New Roman"/>
                <w:b/>
                <w:bCs/>
                <w:sz w:val="20"/>
                <w:szCs w:val="20"/>
              </w:rPr>
            </w:pPr>
            <w:r w:rsidRPr="00A60268">
              <w:rPr>
                <w:rFonts w:ascii="Times New Roman" w:eastAsia="Times New Roman" w:hAnsi="Times New Roman" w:cs="Times New Roman"/>
                <w:b/>
                <w:bCs/>
                <w:sz w:val="20"/>
                <w:szCs w:val="20"/>
              </w:rPr>
              <w:t>Quantitativo de conselheiros</w:t>
            </w:r>
          </w:p>
        </w:tc>
      </w:tr>
      <w:tr w:rsidR="00F95BC7" w:rsidRPr="00F95BC7" w14:paraId="4E3580E7" w14:textId="77777777" w:rsidTr="00A60268">
        <w:trPr>
          <w:trHeight w:val="869"/>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07E2DD98"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1ª Assembleia Geral de formação de conselho gestor – 28/09/2017</w:t>
            </w:r>
          </w:p>
        </w:tc>
        <w:tc>
          <w:tcPr>
            <w:tcW w:w="7512" w:type="dxa"/>
            <w:tcBorders>
              <w:top w:val="nil"/>
              <w:left w:val="nil"/>
              <w:bottom w:val="single" w:sz="4" w:space="0" w:color="000000"/>
              <w:right w:val="single" w:sz="4" w:space="0" w:color="000000"/>
            </w:tcBorders>
            <w:shd w:val="clear" w:color="auto" w:fill="auto"/>
            <w:vAlign w:val="center"/>
            <w:hideMark/>
          </w:tcPr>
          <w:p w14:paraId="255BCF89"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Estavam presentes na assembleia representantes do IDEFLOR-BIO, </w:t>
            </w:r>
            <w:proofErr w:type="spellStart"/>
            <w:r w:rsidRPr="00A60268">
              <w:rPr>
                <w:rFonts w:ascii="Times New Roman" w:eastAsia="Times New Roman" w:hAnsi="Times New Roman" w:cs="Times New Roman"/>
                <w:sz w:val="20"/>
                <w:szCs w:val="20"/>
              </w:rPr>
              <w:t>Codem</w:t>
            </w:r>
            <w:proofErr w:type="spellEnd"/>
            <w:r w:rsidRPr="00A60268">
              <w:rPr>
                <w:rFonts w:ascii="Times New Roman" w:eastAsia="Times New Roman" w:hAnsi="Times New Roman" w:cs="Times New Roman"/>
                <w:sz w:val="20"/>
                <w:szCs w:val="20"/>
              </w:rPr>
              <w:t xml:space="preserve">, Celpa, SEMMA-Belém, Associação dos Moradores dos Conjuntos Verdejantes I-II-II, ONG Argonautas, ADECAM, MPEG,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xml:space="preserve">, NAEA/UFPA,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xml:space="preserve">, SEMA-Ananindeua, EMATER, CELPA, ONG </w:t>
            </w:r>
            <w:proofErr w:type="spellStart"/>
            <w:r w:rsidRPr="00A60268">
              <w:rPr>
                <w:rFonts w:ascii="Times New Roman" w:eastAsia="Times New Roman" w:hAnsi="Times New Roman" w:cs="Times New Roman"/>
                <w:sz w:val="20"/>
                <w:szCs w:val="20"/>
              </w:rPr>
              <w:t>Noolhar</w:t>
            </w:r>
            <w:proofErr w:type="spellEnd"/>
            <w:r w:rsidRPr="00A60268">
              <w:rPr>
                <w:rFonts w:ascii="Times New Roman" w:eastAsia="Times New Roman" w:hAnsi="Times New Roman" w:cs="Times New Roman"/>
                <w:sz w:val="20"/>
                <w:szCs w:val="20"/>
              </w:rPr>
              <w:t xml:space="preserve">, Associação do Quilombo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Defensoria Pública do Estado do Pará, REDEPEA.</w:t>
            </w:r>
          </w:p>
        </w:tc>
      </w:tr>
      <w:tr w:rsidR="00F95BC7" w:rsidRPr="00F95BC7" w14:paraId="22809D79" w14:textId="77777777" w:rsidTr="00A60268">
        <w:trPr>
          <w:trHeight w:val="872"/>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759EF85A"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1ª Reunião Ordinária de 2018 – 03/05/2018</w:t>
            </w:r>
          </w:p>
        </w:tc>
        <w:tc>
          <w:tcPr>
            <w:tcW w:w="7512" w:type="dxa"/>
            <w:tcBorders>
              <w:top w:val="nil"/>
              <w:left w:val="nil"/>
              <w:bottom w:val="single" w:sz="4" w:space="0" w:color="000000"/>
              <w:right w:val="single" w:sz="4" w:space="0" w:color="000000"/>
            </w:tcBorders>
            <w:shd w:val="clear" w:color="auto" w:fill="auto"/>
            <w:vAlign w:val="center"/>
            <w:hideMark/>
          </w:tcPr>
          <w:p w14:paraId="6EAA9E1C"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Os conselheiros que assinaram a ATA: IDEFLOR-BIO, EMATER, NAEA/UFPA, ASFLORA, ONG </w:t>
            </w:r>
            <w:proofErr w:type="spellStart"/>
            <w:r w:rsidRPr="00A60268">
              <w:rPr>
                <w:rFonts w:ascii="Times New Roman" w:eastAsia="Times New Roman" w:hAnsi="Times New Roman" w:cs="Times New Roman"/>
                <w:sz w:val="20"/>
                <w:szCs w:val="20"/>
              </w:rPr>
              <w:t>Noolhar</w:t>
            </w:r>
            <w:proofErr w:type="spellEnd"/>
            <w:r w:rsidRPr="00A60268">
              <w:rPr>
                <w:rFonts w:ascii="Times New Roman" w:eastAsia="Times New Roman" w:hAnsi="Times New Roman" w:cs="Times New Roman"/>
                <w:sz w:val="20"/>
                <w:szCs w:val="20"/>
              </w:rPr>
              <w:t xml:space="preserve">. Cabe mencionar que no conteúdo da ATA informa a participação dos membros da Defensoria Pública do Pará e da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mas não constam assinaturas.</w:t>
            </w:r>
          </w:p>
        </w:tc>
      </w:tr>
      <w:tr w:rsidR="00F95BC7" w:rsidRPr="00F95BC7" w14:paraId="5F66ED27" w14:textId="77777777" w:rsidTr="00A60268">
        <w:trPr>
          <w:trHeight w:val="204"/>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3B25E3D4"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1ª Reunião Extraordinária de 2018 – 15/05/2018</w:t>
            </w:r>
          </w:p>
        </w:tc>
        <w:tc>
          <w:tcPr>
            <w:tcW w:w="7512" w:type="dxa"/>
            <w:tcBorders>
              <w:top w:val="nil"/>
              <w:left w:val="nil"/>
              <w:bottom w:val="single" w:sz="4" w:space="0" w:color="000000"/>
              <w:right w:val="single" w:sz="4" w:space="0" w:color="000000"/>
            </w:tcBorders>
            <w:shd w:val="clear" w:color="auto" w:fill="auto"/>
            <w:vAlign w:val="center"/>
            <w:hideMark/>
          </w:tcPr>
          <w:p w14:paraId="37A210AF"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Os conselheiros que assinaram a ATA: IDEFLOR-BIO, EMATER, NAEA/UFPA, ASFLORA, ONG </w:t>
            </w:r>
            <w:proofErr w:type="spellStart"/>
            <w:r w:rsidRPr="00A60268">
              <w:rPr>
                <w:rFonts w:ascii="Times New Roman" w:eastAsia="Times New Roman" w:hAnsi="Times New Roman" w:cs="Times New Roman"/>
                <w:sz w:val="20"/>
                <w:szCs w:val="20"/>
              </w:rPr>
              <w:t>Noolhar</w:t>
            </w:r>
            <w:proofErr w:type="spellEnd"/>
            <w:r w:rsidRPr="00A60268">
              <w:rPr>
                <w:rFonts w:ascii="Times New Roman" w:eastAsia="Times New Roman" w:hAnsi="Times New Roman" w:cs="Times New Roman"/>
                <w:sz w:val="20"/>
                <w:szCs w:val="20"/>
              </w:rPr>
              <w:t xml:space="preserve">. No entanto, a ATA menciona a presença também da Defensoria Pública, EMBRAPA, SEMA-Ananindeua,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xml:space="preserve"> e uma convidada da Defensoria Pública do Pará</w:t>
            </w:r>
          </w:p>
        </w:tc>
      </w:tr>
      <w:tr w:rsidR="00F95BC7" w:rsidRPr="00F95BC7" w14:paraId="29F93708" w14:textId="77777777" w:rsidTr="00A60268">
        <w:trPr>
          <w:trHeight w:val="70"/>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0AA4DA5F"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2ª Reunião Ordinária de 2018 – 20/11/2018</w:t>
            </w:r>
          </w:p>
        </w:tc>
        <w:tc>
          <w:tcPr>
            <w:tcW w:w="7512" w:type="dxa"/>
            <w:tcBorders>
              <w:top w:val="nil"/>
              <w:left w:val="nil"/>
              <w:bottom w:val="single" w:sz="4" w:space="0" w:color="000000"/>
              <w:right w:val="single" w:sz="4" w:space="0" w:color="000000"/>
            </w:tcBorders>
            <w:shd w:val="clear" w:color="auto" w:fill="auto"/>
            <w:vAlign w:val="center"/>
            <w:hideMark/>
          </w:tcPr>
          <w:p w14:paraId="715A22E2" w14:textId="3D585301"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Não constam assinaturas, porém pelo conteúdo da ATA é possível identificar os representantes de IDEFLOR-BIO e NAEA/UFPA</w:t>
            </w:r>
          </w:p>
        </w:tc>
      </w:tr>
      <w:tr w:rsidR="00F95BC7" w:rsidRPr="00F95BC7" w14:paraId="10CDC576" w14:textId="77777777" w:rsidTr="00A60268">
        <w:trPr>
          <w:trHeight w:val="365"/>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58C0FC5B"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1ª Reunião Ordinária de 2019 – 25/04/2019</w:t>
            </w:r>
          </w:p>
        </w:tc>
        <w:tc>
          <w:tcPr>
            <w:tcW w:w="7512" w:type="dxa"/>
            <w:tcBorders>
              <w:top w:val="nil"/>
              <w:left w:val="nil"/>
              <w:bottom w:val="single" w:sz="4" w:space="0" w:color="000000"/>
              <w:right w:val="single" w:sz="4" w:space="0" w:color="000000"/>
            </w:tcBorders>
            <w:shd w:val="clear" w:color="auto" w:fill="auto"/>
            <w:vAlign w:val="center"/>
            <w:hideMark/>
          </w:tcPr>
          <w:p w14:paraId="7E9E0FB6"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A ATA possui três assinaturas sem identificação precisa, porém no corpo do texto foi registrada presença dos conselheiros representantes do IDEFLOR-BIO, Museu Emilio Goeldi, ASFLORA,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xml:space="preserve"> e CODEM. Além de cinco convidados, todos técnicos do IDEFLOR-BIO.</w:t>
            </w:r>
          </w:p>
        </w:tc>
      </w:tr>
      <w:tr w:rsidR="00F95BC7" w:rsidRPr="00F95BC7" w14:paraId="7E2114F0" w14:textId="77777777" w:rsidTr="00A60268">
        <w:trPr>
          <w:trHeight w:val="70"/>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411CFB96"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2ª Reunião Ordinária de 2019 – 31/10/2019</w:t>
            </w:r>
          </w:p>
        </w:tc>
        <w:tc>
          <w:tcPr>
            <w:tcW w:w="7512" w:type="dxa"/>
            <w:tcBorders>
              <w:top w:val="nil"/>
              <w:left w:val="nil"/>
              <w:bottom w:val="single" w:sz="4" w:space="0" w:color="000000"/>
              <w:right w:val="single" w:sz="4" w:space="0" w:color="000000"/>
            </w:tcBorders>
            <w:shd w:val="clear" w:color="auto" w:fill="auto"/>
            <w:vAlign w:val="center"/>
            <w:hideMark/>
          </w:tcPr>
          <w:p w14:paraId="0FEC7A6B"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Foi registrada presença dos conselheiros representantes do IDEFLOR-BIO, EMBRAPA,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EMATER-PA, Museu Emilio Goeldi, REDEPEA, ADECAM e CODEM.</w:t>
            </w:r>
          </w:p>
        </w:tc>
      </w:tr>
      <w:tr w:rsidR="00F95BC7" w:rsidRPr="00F95BC7" w14:paraId="41A45CEC" w14:textId="77777777" w:rsidTr="00A60268">
        <w:trPr>
          <w:trHeight w:val="70"/>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562D329F"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3ª Reunião Ordinária de 2019 – 03/12/2019</w:t>
            </w:r>
          </w:p>
        </w:tc>
        <w:tc>
          <w:tcPr>
            <w:tcW w:w="7512" w:type="dxa"/>
            <w:tcBorders>
              <w:top w:val="nil"/>
              <w:left w:val="nil"/>
              <w:bottom w:val="single" w:sz="4" w:space="0" w:color="000000"/>
              <w:right w:val="single" w:sz="4" w:space="0" w:color="000000"/>
            </w:tcBorders>
            <w:shd w:val="clear" w:color="auto" w:fill="auto"/>
            <w:vAlign w:val="center"/>
            <w:hideMark/>
          </w:tcPr>
          <w:p w14:paraId="1EFBEC49"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Não constam assinaturas, porém são mencionadas em ATA as presenças dos conselheiros representantes IDEFLOR-BIO, Museu Emilio Goeldi, EMBRAPA, EMATER-PA, ONG </w:t>
            </w:r>
            <w:proofErr w:type="spellStart"/>
            <w:r w:rsidRPr="00A60268">
              <w:rPr>
                <w:rFonts w:ascii="Times New Roman" w:eastAsia="Times New Roman" w:hAnsi="Times New Roman" w:cs="Times New Roman"/>
                <w:sz w:val="20"/>
                <w:szCs w:val="20"/>
              </w:rPr>
              <w:t>Namazônia</w:t>
            </w:r>
            <w:proofErr w:type="spellEnd"/>
            <w:r w:rsidRPr="00A60268">
              <w:rPr>
                <w:rFonts w:ascii="Times New Roman" w:eastAsia="Times New Roman" w:hAnsi="Times New Roman" w:cs="Times New Roman"/>
                <w:sz w:val="20"/>
                <w:szCs w:val="20"/>
              </w:rPr>
              <w:t>, SEMMA-Belém, REDEPEA, ADECAM e CODEM.</w:t>
            </w:r>
          </w:p>
        </w:tc>
      </w:tr>
    </w:tbl>
    <w:p w14:paraId="0FE9A892" w14:textId="77777777" w:rsidR="003137C0" w:rsidRPr="00F95BC7" w:rsidRDefault="004F6FC7">
      <w:pPr>
        <w:spacing w:after="0" w:line="360" w:lineRule="auto"/>
        <w:jc w:val="both"/>
        <w:rPr>
          <w:rFonts w:ascii="Times New Roman" w:eastAsia="Times New Roman" w:hAnsi="Times New Roman" w:cs="Times New Roman"/>
          <w:sz w:val="20"/>
          <w:szCs w:val="20"/>
        </w:rPr>
      </w:pPr>
      <w:r w:rsidRPr="00F95BC7">
        <w:rPr>
          <w:rFonts w:ascii="Times New Roman" w:eastAsia="Times New Roman" w:hAnsi="Times New Roman" w:cs="Times New Roman"/>
          <w:b/>
          <w:sz w:val="20"/>
          <w:szCs w:val="20"/>
        </w:rPr>
        <w:t>Fonte</w:t>
      </w:r>
      <w:r w:rsidRPr="00F95BC7">
        <w:rPr>
          <w:rFonts w:ascii="Times New Roman" w:eastAsia="Times New Roman" w:hAnsi="Times New Roman" w:cs="Times New Roman"/>
          <w:sz w:val="20"/>
          <w:szCs w:val="20"/>
        </w:rPr>
        <w:t>: Elaborado pelos autores.</w:t>
      </w:r>
    </w:p>
    <w:p w14:paraId="36B62BC9" w14:textId="62AB613B" w:rsidR="00A60268" w:rsidRPr="00F95BC7" w:rsidRDefault="00A60268" w:rsidP="00A60268">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Das reuniões realizadas é possível identificar baixa participação dos conselheiros, com exceção do representante do IDEFLOR-BIO, que o preside. O regimento interno da APA Belém, estabelece que são vedadas aos conselheiros deixar de comparecer, sem justificativa aceita, a três assembleias consecutivas ou cinco intercaladas durante o mandado, que tem duração de dois anos </w:t>
      </w:r>
      <w:r w:rsidRPr="00F95BC7">
        <w:rPr>
          <w:rFonts w:ascii="Times New Roman" w:eastAsia="Times New Roman" w:hAnsi="Times New Roman" w:cs="Times New Roman"/>
          <w:sz w:val="24"/>
          <w:szCs w:val="24"/>
        </w:rPr>
        <w:lastRenderedPageBreak/>
        <w:t>permitida a recondução por igual período. O quadro 01 apresenta participação dos conselheiros nas reuniões.</w:t>
      </w:r>
    </w:p>
    <w:p w14:paraId="11F4AA61" w14:textId="2B9964A1"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Um ponto tratado na primeira Assembleia do Conselho Gestor foi a recusa de instituições aos convites para participar do conselho consultivo da UC. Além disso, foi questionada a participação da Concessionária de Energia do Pará (CELPA/Equatorial) no conselho. O representante da Secretaria de Meio Ambiente de Ananindeua, secretário municipal, senhor </w:t>
      </w:r>
      <w:proofErr w:type="spellStart"/>
      <w:r w:rsidRPr="00F95BC7">
        <w:rPr>
          <w:rFonts w:ascii="Times New Roman" w:eastAsia="Times New Roman" w:hAnsi="Times New Roman" w:cs="Times New Roman"/>
          <w:sz w:val="24"/>
          <w:szCs w:val="24"/>
        </w:rPr>
        <w:t>Elival</w:t>
      </w:r>
      <w:proofErr w:type="spellEnd"/>
      <w:r w:rsidRPr="00F95BC7">
        <w:rPr>
          <w:rFonts w:ascii="Times New Roman" w:eastAsia="Times New Roman" w:hAnsi="Times New Roman" w:cs="Times New Roman"/>
          <w:sz w:val="24"/>
          <w:szCs w:val="24"/>
        </w:rPr>
        <w:t xml:space="preserve"> Faustino, compartilhou:</w:t>
      </w:r>
    </w:p>
    <w:p w14:paraId="72390DB2" w14:textId="77777777" w:rsidR="003137C0" w:rsidRPr="00F95BC7" w:rsidRDefault="004F6FC7">
      <w:pPr>
        <w:spacing w:after="0" w:line="240" w:lineRule="auto"/>
        <w:ind w:left="2268" w:firstLine="612"/>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 xml:space="preserve">O Sr. </w:t>
      </w:r>
      <w:proofErr w:type="spellStart"/>
      <w:r w:rsidRPr="00F95BC7">
        <w:rPr>
          <w:rFonts w:ascii="Times New Roman" w:eastAsia="Times New Roman" w:hAnsi="Times New Roman" w:cs="Times New Roman"/>
          <w:sz w:val="20"/>
          <w:szCs w:val="20"/>
        </w:rPr>
        <w:t>Elival</w:t>
      </w:r>
      <w:proofErr w:type="spellEnd"/>
      <w:r w:rsidRPr="00F95BC7">
        <w:rPr>
          <w:rFonts w:ascii="Times New Roman" w:eastAsia="Times New Roman" w:hAnsi="Times New Roman" w:cs="Times New Roman"/>
          <w:sz w:val="20"/>
          <w:szCs w:val="20"/>
        </w:rPr>
        <w:t xml:space="preserve"> Faustino, representante da SEMA/ANANINDEUA, compartilhou uma experiência vivida por ele no Conselho Municipal de Saúde daquele município, onde o Conselho não via com bons olhos a participação de donos de hospitais, afirmou que o referido Conselho só conseguiu avançar quando se entendeu a legislação e quando se começou a fazer diálogo, já que tinham muitas trabalhadas em conjunto para serem solucionadas, portanto, para ele quanto mais diversidade existir melhor.</w:t>
      </w:r>
    </w:p>
    <w:p w14:paraId="11CF6A4A"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A representante do NAEA/UFPA, Profa. Dra. Mirleide Chaar, também na assembleia menciona de formação do conselho gestor (2017):</w:t>
      </w:r>
    </w:p>
    <w:p w14:paraId="5D2D5FD7" w14:textId="77777777" w:rsidR="003137C0" w:rsidRPr="00F95BC7" w:rsidRDefault="004F6FC7">
      <w:pPr>
        <w:spacing w:after="0" w:line="240" w:lineRule="auto"/>
        <w:ind w:left="2268" w:firstLine="612"/>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É muito rico o Conselho, porque abre para essas discussões e estamos avançando hoje, pois antigamente os debates eram feitos nos gabinetes, não se chamava a sociedade para debater, temos que avançar e manter nossas marcas, mas o desenvolvimento também é ter nossa cultura e nossa sociedade preservada, mas é preciso termos os debates num fórum como este do Conselho, por que não pode virar guerra, temos que debater e compreender como chegar num acordo num menor impacto e destruição da cidade e da floresta, precisamos pensar como avançar nossas ações em Belém.</w:t>
      </w:r>
    </w:p>
    <w:p w14:paraId="30C29578"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Cabe citar que a pauta sobre a CELPA/Equatorial ocorreu principalmente pelo processo de licenciamento ambiental para o empreendimento próximo à comunidade do Abacatal, localizada dentro da APA. Destaca-se ainda que na reunião do dia 25/04/2019 os técnicos do IDEFLOR-BIO apresentaram as ações operacionais realizadas em 2018 nas UC da região metropolitana de Belém que estão a ela subordinadas. Sobre a APA da Região Metropolitana de Belém foi citado:</w:t>
      </w:r>
    </w:p>
    <w:p w14:paraId="33ECF8AF" w14:textId="77777777" w:rsidR="003137C0" w:rsidRPr="00F95BC7" w:rsidRDefault="004F6FC7">
      <w:pPr>
        <w:spacing w:after="0" w:line="240" w:lineRule="auto"/>
        <w:ind w:left="2268" w:firstLine="719"/>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 xml:space="preserve">A técnica apresentou as ações do Programa de Uso Público realizadas e explanou sobre a abertura da trilha de longo curso, denominada “Rota do </w:t>
      </w:r>
      <w:proofErr w:type="spellStart"/>
      <w:r w:rsidRPr="00F95BC7">
        <w:rPr>
          <w:rFonts w:ascii="Times New Roman" w:eastAsia="Times New Roman" w:hAnsi="Times New Roman" w:cs="Times New Roman"/>
          <w:sz w:val="20"/>
          <w:szCs w:val="20"/>
        </w:rPr>
        <w:t>Guarumã</w:t>
      </w:r>
      <w:proofErr w:type="spellEnd"/>
      <w:r w:rsidRPr="00F95BC7">
        <w:rPr>
          <w:rFonts w:ascii="Times New Roman" w:eastAsia="Times New Roman" w:hAnsi="Times New Roman" w:cs="Times New Roman"/>
          <w:sz w:val="20"/>
          <w:szCs w:val="20"/>
        </w:rPr>
        <w:t>”, que possui uma extensão de 30 km, saindo do igarapé Taiassuí, localizada em Benevides, passando pela APA Metropolitana de Belém e termina no Parque Estadual do Utinga.</w:t>
      </w:r>
    </w:p>
    <w:p w14:paraId="7F445409" w14:textId="7BB89D28" w:rsidR="00FB1BEA" w:rsidRPr="00F95BC7" w:rsidRDefault="004F6FC7" w:rsidP="00C71562">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conselho gestor da UC, mesmo atendendo a critérios formais participativos, acaba não sendo instrumento de participação social, pois a ausência dos atores faltosos não é questionada pelo conselho consultivo. Esta posição reforça as dificuldades expostas por Baquero e Baquero (2017) em países latino-americanos, pois quando demandas materiais e sociais básicas são insuficientes, acaba bloqueado o debate entre os atores sociais. Neste caso, as mais prejudicadas são as comunidades quilombolas e ribeirinhas. Estas últimas nem participam do conselho. Com relação ao governo local, é possível identificar a participação pontual em duas reuniões.  </w:t>
      </w:r>
    </w:p>
    <w:sdt>
      <w:sdtPr>
        <w:rPr>
          <w:rFonts w:ascii="Times New Roman" w:hAnsi="Times New Roman" w:cs="Times New Roman"/>
          <w:color w:val="auto"/>
          <w:sz w:val="24"/>
          <w:szCs w:val="24"/>
        </w:rPr>
        <w:tag w:val="goog_rdk_0"/>
        <w:id w:val="-796215859"/>
      </w:sdtPr>
      <w:sdtEndPr/>
      <w:sdtContent>
        <w:p w14:paraId="00E365C0" w14:textId="77777777" w:rsidR="003137C0" w:rsidRPr="00F95BC7" w:rsidRDefault="004F6FC7">
          <w:pPr>
            <w:pStyle w:val="Ttulo1"/>
            <w:spacing w:before="0" w:line="360" w:lineRule="auto"/>
            <w:ind w:firstLine="708"/>
            <w:rPr>
              <w:rFonts w:ascii="Times New Roman" w:eastAsia="Times New Roman" w:hAnsi="Times New Roman" w:cs="Times New Roman"/>
              <w:b/>
              <w:color w:val="auto"/>
              <w:sz w:val="24"/>
              <w:szCs w:val="24"/>
            </w:rPr>
          </w:pPr>
          <w:r w:rsidRPr="00F95BC7">
            <w:rPr>
              <w:rFonts w:ascii="Times New Roman" w:eastAsia="Times New Roman" w:hAnsi="Times New Roman" w:cs="Times New Roman"/>
              <w:b/>
              <w:color w:val="auto"/>
              <w:sz w:val="24"/>
              <w:szCs w:val="24"/>
            </w:rPr>
            <w:t>Refúgio de Vida Silvestre Metrópole da Amazônia</w:t>
          </w:r>
        </w:p>
      </w:sdtContent>
    </w:sdt>
    <w:p w14:paraId="2EC329DA" w14:textId="35766103"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Diferente da APA Metropolitana de Belém, o Refúgio de Vida Silvestre (REVIS) Metrópole da Amazônia é uma área de proteção integral (NASCIMENTO et al., 2018). Criado por meio do </w:t>
      </w:r>
      <w:r w:rsidRPr="00F95BC7">
        <w:rPr>
          <w:rFonts w:ascii="Times New Roman" w:eastAsia="Times New Roman" w:hAnsi="Times New Roman" w:cs="Times New Roman"/>
          <w:sz w:val="24"/>
          <w:szCs w:val="24"/>
        </w:rPr>
        <w:lastRenderedPageBreak/>
        <w:t xml:space="preserve">Decreto nº. 2.211/2010, possui área de 6.367.27 </w:t>
      </w:r>
      <w:r w:rsidR="00060DD1" w:rsidRPr="00F95BC7">
        <w:rPr>
          <w:rFonts w:ascii="Times New Roman" w:eastAsia="Times New Roman" w:hAnsi="Times New Roman" w:cs="Times New Roman"/>
          <w:sz w:val="24"/>
          <w:szCs w:val="24"/>
        </w:rPr>
        <w:t>ha.</w:t>
      </w:r>
      <w:r w:rsidRPr="00F95BC7">
        <w:rPr>
          <w:rFonts w:ascii="Times New Roman" w:eastAsia="Times New Roman" w:hAnsi="Times New Roman" w:cs="Times New Roman"/>
          <w:sz w:val="24"/>
          <w:szCs w:val="24"/>
        </w:rPr>
        <w:t>, abrange 6,3% da área total de quatro municípios paraenses: Ananindeua, Benevides, Marituba e Santa Isabel do Pará (IDEFOR-BIO, 2020). Segundo Almeida, Bahia e Nelson (2016), o REVIS Metrópole da Amazônia permite o uso público e tem o objetivo de proteger ambientes naturais e garantir condições para a fauna e a flora se reproduzirem.</w:t>
      </w:r>
    </w:p>
    <w:p w14:paraId="10296565" w14:textId="4B9957BE"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De acordo com o IDEFLOR-BIO (2020) o processo histórico desta UC teve início em 1800 com os engenhos de maré, que eram engenhos de cana-de-açúcar movidos pela força das marés. Após 1950, a empresa Pirelli S/A comprou a “Fazenda Oriboca”, popularmente conhecida como “Fazenda da Pirelli”, para extração de látex. Esse período encerra-se com a transformação da antiga plantação de seringa em pastagem, com o nome de “Fazenda Guamá”, encerrando as atividades entre as décadas de 1980 e 1990. Castro et al. (2020) esclarecem que cerca de 28 famílias residem na unidade, com atividades voltadas à extração do látex de seringueira, </w:t>
      </w:r>
      <w:r w:rsidR="00630B71" w:rsidRPr="00F95BC7">
        <w:rPr>
          <w:rFonts w:ascii="Times New Roman" w:eastAsia="Times New Roman" w:hAnsi="Times New Roman" w:cs="Times New Roman"/>
          <w:sz w:val="24"/>
          <w:szCs w:val="24"/>
        </w:rPr>
        <w:t xml:space="preserve">também </w:t>
      </w:r>
      <w:r w:rsidRPr="00F95BC7">
        <w:rPr>
          <w:rFonts w:ascii="Times New Roman" w:eastAsia="Times New Roman" w:hAnsi="Times New Roman" w:cs="Times New Roman"/>
          <w:sz w:val="24"/>
          <w:szCs w:val="24"/>
        </w:rPr>
        <w:t xml:space="preserve">de urucum, cacau e açaí e </w:t>
      </w:r>
      <w:r w:rsidR="00630B71" w:rsidRPr="00F95BC7">
        <w:rPr>
          <w:rFonts w:ascii="Times New Roman" w:eastAsia="Times New Roman" w:hAnsi="Times New Roman" w:cs="Times New Roman"/>
          <w:sz w:val="24"/>
          <w:szCs w:val="24"/>
        </w:rPr>
        <w:t xml:space="preserve">a </w:t>
      </w:r>
      <w:r w:rsidRPr="00F95BC7">
        <w:rPr>
          <w:rFonts w:ascii="Times New Roman" w:eastAsia="Times New Roman" w:hAnsi="Times New Roman" w:cs="Times New Roman"/>
          <w:sz w:val="24"/>
          <w:szCs w:val="24"/>
        </w:rPr>
        <w:t>pesca de subsistência.</w:t>
      </w:r>
    </w:p>
    <w:p w14:paraId="1F238077" w14:textId="31D97762"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objetivo deste REVIS foi minimizar os impactos ambientais causados pelo crescimento populacional da Região Metropolitana de Belém (CASTRO et al., 2020). Segundo Almeida, Bahia e Nelson (2016), este REVIS possui características geográficas diferentes dentro da mesma área, inclusive nem todas as comunidades possuem acesso às benfeitorias proporcionadas pelo poder público. De acordo com os autores, as comunidades que têm acesso via BR 316, como a da Vila do Dique (Marituba-PA), desfrutam de benefícios que não chegam às outras populações, como as que moram às margens do rio Guamá e furos e igarapés, como o </w:t>
      </w:r>
      <w:proofErr w:type="spellStart"/>
      <w:r w:rsidRPr="00F95BC7">
        <w:rPr>
          <w:rFonts w:ascii="Times New Roman" w:eastAsia="Times New Roman" w:hAnsi="Times New Roman" w:cs="Times New Roman"/>
          <w:sz w:val="24"/>
          <w:szCs w:val="24"/>
        </w:rPr>
        <w:t>Taiassuí</w:t>
      </w:r>
      <w:proofErr w:type="spellEnd"/>
      <w:r w:rsidRPr="00F95BC7">
        <w:rPr>
          <w:rFonts w:ascii="Times New Roman" w:eastAsia="Times New Roman" w:hAnsi="Times New Roman" w:cs="Times New Roman"/>
          <w:sz w:val="24"/>
          <w:szCs w:val="24"/>
        </w:rPr>
        <w:t xml:space="preserve"> e </w:t>
      </w:r>
      <w:proofErr w:type="spellStart"/>
      <w:r w:rsidRPr="00F95BC7">
        <w:rPr>
          <w:rFonts w:ascii="Times New Roman" w:eastAsia="Times New Roman" w:hAnsi="Times New Roman" w:cs="Times New Roman"/>
          <w:sz w:val="24"/>
          <w:szCs w:val="24"/>
        </w:rPr>
        <w:t>Uriboca</w:t>
      </w:r>
      <w:proofErr w:type="spellEnd"/>
      <w:r w:rsidRPr="00F95BC7">
        <w:rPr>
          <w:rFonts w:ascii="Times New Roman" w:eastAsia="Times New Roman" w:hAnsi="Times New Roman" w:cs="Times New Roman"/>
          <w:sz w:val="24"/>
          <w:szCs w:val="24"/>
        </w:rPr>
        <w:t>.</w:t>
      </w:r>
    </w:p>
    <w:p w14:paraId="300409DE" w14:textId="282D5556"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Pesquisas demonstram o potencial turístico pouco explorado da REVIS Metrópole da Amazônia (ALMEIDA, BAHIA, NELSON, 2016; CASTRO et al., 2020; NASCIMENTO et al., 2018), como as trilhas, rota do </w:t>
      </w:r>
      <w:proofErr w:type="spellStart"/>
      <w:r w:rsidRPr="00F95BC7">
        <w:rPr>
          <w:rFonts w:ascii="Times New Roman" w:eastAsia="Times New Roman" w:hAnsi="Times New Roman" w:cs="Times New Roman"/>
          <w:sz w:val="24"/>
          <w:szCs w:val="24"/>
        </w:rPr>
        <w:t>Guarumã</w:t>
      </w:r>
      <w:proofErr w:type="spellEnd"/>
      <w:r w:rsidRPr="00F95BC7">
        <w:rPr>
          <w:rFonts w:ascii="Times New Roman" w:eastAsia="Times New Roman" w:hAnsi="Times New Roman" w:cs="Times New Roman"/>
          <w:sz w:val="24"/>
          <w:szCs w:val="24"/>
        </w:rPr>
        <w:t>, ruínas do engenho e da igreja, vila do Dique, lago da onça, território quilombola, igarapé e comunidade Taiassuí e outras comunidades (IDEFLOR-BIO, 2020). Estes atrativos não fomentam a frequência de turistas. Pesquisa de Castro et al. (2020) destaca</w:t>
      </w:r>
      <w:r w:rsidR="004E7026" w:rsidRPr="00F95BC7">
        <w:rPr>
          <w:rFonts w:ascii="Times New Roman" w:eastAsia="Times New Roman" w:hAnsi="Times New Roman" w:cs="Times New Roman"/>
          <w:sz w:val="24"/>
          <w:szCs w:val="24"/>
        </w:rPr>
        <w:t>m</w:t>
      </w:r>
      <w:r w:rsidRPr="00F95BC7">
        <w:rPr>
          <w:rFonts w:ascii="Times New Roman" w:eastAsia="Times New Roman" w:hAnsi="Times New Roman" w:cs="Times New Roman"/>
          <w:sz w:val="24"/>
          <w:szCs w:val="24"/>
        </w:rPr>
        <w:t xml:space="preserve"> dificuldades existentes para turistas, constatando que as visitações não são regulares devido à falta de atividades contínuas, de estrutura de visitação adequada e de organização de roteiros ao refúgio.</w:t>
      </w:r>
    </w:p>
    <w:p w14:paraId="25FB676C" w14:textId="04341F55"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Destaca-se que a UC possui conselho consultivo formado. De acordo com Nascimento et al</w:t>
      </w:r>
      <w:r w:rsidR="00BD0312"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(2018), a composição do conselho consultivo do REVIS compreende 24 instituições, sendo 11 representantes do poder público e 13 da sociedade civil, representados por seus titulares e suplentes. De acordo com Araújo e Simonian (2016), a constituição do conselho representa a própria gênese do processo de governança em uma unidade de conservação. </w:t>
      </w:r>
    </w:p>
    <w:p w14:paraId="0D9256B4" w14:textId="77777777" w:rsidR="00A60268" w:rsidRPr="00F95BC7" w:rsidRDefault="00A60268">
      <w:pPr>
        <w:shd w:val="clear" w:color="auto" w:fill="FFFFFF"/>
        <w:spacing w:after="0" w:line="360" w:lineRule="auto"/>
        <w:ind w:firstLine="708"/>
        <w:jc w:val="both"/>
        <w:rPr>
          <w:rFonts w:ascii="Times New Roman" w:eastAsia="Times New Roman" w:hAnsi="Times New Roman" w:cs="Times New Roman"/>
          <w:sz w:val="24"/>
          <w:szCs w:val="24"/>
        </w:rPr>
      </w:pPr>
    </w:p>
    <w:p w14:paraId="42FD47A6" w14:textId="77777777" w:rsidR="003137C0" w:rsidRPr="00F95BC7" w:rsidRDefault="004F6FC7" w:rsidP="00A60268">
      <w:pPr>
        <w:shd w:val="clear" w:color="auto" w:fill="FFFFFF"/>
        <w:spacing w:after="0" w:line="24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b/>
          <w:sz w:val="24"/>
          <w:szCs w:val="24"/>
        </w:rPr>
        <w:lastRenderedPageBreak/>
        <w:t>Quadro 02:</w:t>
      </w:r>
      <w:r w:rsidRPr="00F95BC7">
        <w:rPr>
          <w:rFonts w:ascii="Times New Roman" w:eastAsia="Times New Roman" w:hAnsi="Times New Roman" w:cs="Times New Roman"/>
          <w:sz w:val="24"/>
          <w:szCs w:val="24"/>
        </w:rPr>
        <w:t xml:space="preserve"> Quantitativo de conselheiros por reuniões do conselho gestor – REVIS Metrópole da Amazônia</w:t>
      </w:r>
    </w:p>
    <w:tbl>
      <w:tblPr>
        <w:tblW w:w="9634" w:type="dxa"/>
        <w:tblCellMar>
          <w:left w:w="70" w:type="dxa"/>
          <w:right w:w="70" w:type="dxa"/>
        </w:tblCellMar>
        <w:tblLook w:val="04A0" w:firstRow="1" w:lastRow="0" w:firstColumn="1" w:lastColumn="0" w:noHBand="0" w:noVBand="1"/>
      </w:tblPr>
      <w:tblGrid>
        <w:gridCol w:w="2122"/>
        <w:gridCol w:w="7512"/>
      </w:tblGrid>
      <w:tr w:rsidR="00F95BC7" w:rsidRPr="00F95BC7" w14:paraId="7E10C814" w14:textId="77777777" w:rsidTr="00A60268">
        <w:trPr>
          <w:trHeight w:val="70"/>
        </w:trPr>
        <w:tc>
          <w:tcPr>
            <w:tcW w:w="212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5FC060" w14:textId="77777777" w:rsidR="00A60268" w:rsidRPr="00A60268" w:rsidRDefault="00A60268" w:rsidP="00A60268">
            <w:pPr>
              <w:spacing w:after="0" w:line="240" w:lineRule="auto"/>
              <w:jc w:val="center"/>
              <w:rPr>
                <w:rFonts w:ascii="Times New Roman" w:eastAsia="Times New Roman" w:hAnsi="Times New Roman" w:cs="Times New Roman"/>
                <w:b/>
                <w:bCs/>
                <w:sz w:val="20"/>
                <w:szCs w:val="20"/>
              </w:rPr>
            </w:pPr>
            <w:r w:rsidRPr="00A60268">
              <w:rPr>
                <w:rFonts w:ascii="Times New Roman" w:eastAsia="Times New Roman" w:hAnsi="Times New Roman" w:cs="Times New Roman"/>
                <w:b/>
                <w:bCs/>
                <w:sz w:val="20"/>
                <w:szCs w:val="20"/>
              </w:rPr>
              <w:t>Reunião</w:t>
            </w:r>
          </w:p>
        </w:tc>
        <w:tc>
          <w:tcPr>
            <w:tcW w:w="7512" w:type="dxa"/>
            <w:tcBorders>
              <w:top w:val="single" w:sz="4" w:space="0" w:color="000000"/>
              <w:left w:val="nil"/>
              <w:bottom w:val="single" w:sz="4" w:space="0" w:color="000000"/>
              <w:right w:val="single" w:sz="4" w:space="0" w:color="000000"/>
            </w:tcBorders>
            <w:shd w:val="clear" w:color="000000" w:fill="FFFFFF"/>
            <w:vAlign w:val="center"/>
            <w:hideMark/>
          </w:tcPr>
          <w:p w14:paraId="1363FDEA" w14:textId="77777777" w:rsidR="00A60268" w:rsidRPr="00A60268" w:rsidRDefault="00A60268" w:rsidP="00A60268">
            <w:pPr>
              <w:spacing w:after="0" w:line="240" w:lineRule="auto"/>
              <w:jc w:val="center"/>
              <w:rPr>
                <w:rFonts w:ascii="Times New Roman" w:eastAsia="Times New Roman" w:hAnsi="Times New Roman" w:cs="Times New Roman"/>
                <w:b/>
                <w:bCs/>
                <w:sz w:val="20"/>
                <w:szCs w:val="20"/>
              </w:rPr>
            </w:pPr>
            <w:r w:rsidRPr="00A60268">
              <w:rPr>
                <w:rFonts w:ascii="Times New Roman" w:eastAsia="Times New Roman" w:hAnsi="Times New Roman" w:cs="Times New Roman"/>
                <w:b/>
                <w:bCs/>
                <w:sz w:val="20"/>
                <w:szCs w:val="20"/>
              </w:rPr>
              <w:t>Quantitativo de conselheiros</w:t>
            </w:r>
          </w:p>
        </w:tc>
      </w:tr>
      <w:tr w:rsidR="00F95BC7" w:rsidRPr="00F95BC7" w14:paraId="341396E0" w14:textId="77777777" w:rsidTr="00A60268">
        <w:trPr>
          <w:trHeight w:val="621"/>
        </w:trPr>
        <w:tc>
          <w:tcPr>
            <w:tcW w:w="212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4D8B1CE"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16ª Reunião Ordinária, no dia 30/11/2017, auditório da SEMAS </w:t>
            </w:r>
          </w:p>
        </w:tc>
        <w:tc>
          <w:tcPr>
            <w:tcW w:w="7512" w:type="dxa"/>
            <w:tcBorders>
              <w:top w:val="nil"/>
              <w:left w:val="nil"/>
              <w:bottom w:val="nil"/>
              <w:right w:val="single" w:sz="4" w:space="0" w:color="000000"/>
            </w:tcBorders>
            <w:shd w:val="clear" w:color="000000" w:fill="FFFFFF"/>
            <w:vAlign w:val="center"/>
            <w:hideMark/>
          </w:tcPr>
          <w:p w14:paraId="682A267E"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Conselheiros que assinaram a ata foram os representantes do IDEFLOR-BIO, UFPA, Sema-Ananindeua, Sema-Santa Izabel, Emater, União dos Centros Comunitários de Santa Izabel, Guamá resíduos sólidos, Associação Quilombo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xml:space="preserve">, Igreja Evangélica Pentecostal Primitiva. </w:t>
            </w:r>
          </w:p>
        </w:tc>
      </w:tr>
      <w:tr w:rsidR="00F95BC7" w:rsidRPr="00F95BC7" w14:paraId="2E3C07B5" w14:textId="77777777" w:rsidTr="00A60268">
        <w:trPr>
          <w:trHeight w:val="252"/>
        </w:trPr>
        <w:tc>
          <w:tcPr>
            <w:tcW w:w="2122" w:type="dxa"/>
            <w:vMerge/>
            <w:tcBorders>
              <w:top w:val="nil"/>
              <w:left w:val="single" w:sz="4" w:space="0" w:color="000000"/>
              <w:bottom w:val="single" w:sz="4" w:space="0" w:color="000000"/>
              <w:right w:val="single" w:sz="4" w:space="0" w:color="000000"/>
            </w:tcBorders>
            <w:vAlign w:val="center"/>
            <w:hideMark/>
          </w:tcPr>
          <w:p w14:paraId="6E8FE6D0" w14:textId="77777777" w:rsidR="00A60268" w:rsidRPr="00A60268" w:rsidRDefault="00A60268" w:rsidP="00A60268">
            <w:pPr>
              <w:spacing w:after="0" w:line="240" w:lineRule="auto"/>
              <w:rPr>
                <w:rFonts w:ascii="Times New Roman" w:eastAsia="Times New Roman" w:hAnsi="Times New Roman" w:cs="Times New Roman"/>
                <w:sz w:val="20"/>
                <w:szCs w:val="20"/>
              </w:rPr>
            </w:pPr>
          </w:p>
        </w:tc>
        <w:tc>
          <w:tcPr>
            <w:tcW w:w="7512" w:type="dxa"/>
            <w:tcBorders>
              <w:top w:val="nil"/>
              <w:left w:val="nil"/>
              <w:bottom w:val="single" w:sz="4" w:space="0" w:color="000000"/>
              <w:right w:val="single" w:sz="4" w:space="0" w:color="000000"/>
            </w:tcBorders>
            <w:shd w:val="clear" w:color="000000" w:fill="FFFFFF"/>
            <w:vAlign w:val="center"/>
            <w:hideMark/>
          </w:tcPr>
          <w:p w14:paraId="2196B8CB"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Mesmo não assinando a ata, consta o registro que estiveram presentes na categoria de convidados, representante da ASFLORA e empresa Guamá tratamento Resíduos Sólidos, além de quatro técnicos do IDEFLOR-BIO.</w:t>
            </w:r>
          </w:p>
        </w:tc>
      </w:tr>
      <w:tr w:rsidR="00F95BC7" w:rsidRPr="00F95BC7" w14:paraId="5C0D8452" w14:textId="77777777" w:rsidTr="00A60268">
        <w:trPr>
          <w:trHeight w:val="134"/>
        </w:trPr>
        <w:tc>
          <w:tcPr>
            <w:tcW w:w="212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007AED"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17ª Reunião Ordinária, no dia 10/05/2018, no auditório da sede do IDEFLOR-BIO</w:t>
            </w:r>
          </w:p>
        </w:tc>
        <w:tc>
          <w:tcPr>
            <w:tcW w:w="7512" w:type="dxa"/>
            <w:tcBorders>
              <w:top w:val="nil"/>
              <w:left w:val="nil"/>
              <w:bottom w:val="nil"/>
              <w:right w:val="single" w:sz="4" w:space="0" w:color="000000"/>
            </w:tcBorders>
            <w:shd w:val="clear" w:color="000000" w:fill="FFFFFF"/>
            <w:vAlign w:val="center"/>
            <w:hideMark/>
          </w:tcPr>
          <w:p w14:paraId="3D78BD93"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Os conselheiros que assinaram a Ata foram os representantes do IDEFLOR-BIO, MPEG e o Instituto Pirelli Sócio Ambiental. </w:t>
            </w:r>
          </w:p>
        </w:tc>
      </w:tr>
      <w:tr w:rsidR="00F95BC7" w:rsidRPr="00F95BC7" w14:paraId="0AFE9ECC" w14:textId="77777777" w:rsidTr="00A60268">
        <w:trPr>
          <w:trHeight w:val="70"/>
        </w:trPr>
        <w:tc>
          <w:tcPr>
            <w:tcW w:w="2122" w:type="dxa"/>
            <w:vMerge/>
            <w:tcBorders>
              <w:top w:val="nil"/>
              <w:left w:val="single" w:sz="4" w:space="0" w:color="000000"/>
              <w:bottom w:val="single" w:sz="4" w:space="0" w:color="000000"/>
              <w:right w:val="single" w:sz="4" w:space="0" w:color="000000"/>
            </w:tcBorders>
            <w:vAlign w:val="center"/>
            <w:hideMark/>
          </w:tcPr>
          <w:p w14:paraId="0D9A286A" w14:textId="77777777" w:rsidR="00A60268" w:rsidRPr="00A60268" w:rsidRDefault="00A60268" w:rsidP="00A60268">
            <w:pPr>
              <w:spacing w:after="0" w:line="240" w:lineRule="auto"/>
              <w:rPr>
                <w:rFonts w:ascii="Times New Roman" w:eastAsia="Times New Roman" w:hAnsi="Times New Roman" w:cs="Times New Roman"/>
                <w:sz w:val="20"/>
                <w:szCs w:val="20"/>
              </w:rPr>
            </w:pPr>
          </w:p>
        </w:tc>
        <w:tc>
          <w:tcPr>
            <w:tcW w:w="7512" w:type="dxa"/>
            <w:tcBorders>
              <w:top w:val="nil"/>
              <w:left w:val="nil"/>
              <w:bottom w:val="single" w:sz="4" w:space="0" w:color="000000"/>
              <w:right w:val="single" w:sz="4" w:space="0" w:color="000000"/>
            </w:tcBorders>
            <w:shd w:val="clear" w:color="000000" w:fill="FFFFFF"/>
            <w:vAlign w:val="center"/>
            <w:hideMark/>
          </w:tcPr>
          <w:p w14:paraId="6E0D3030"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Na Ata consta informação que estiveram presentes os conselheiros: SEMA – Santa Izabel, empresa Guamá tratamento Resíduos Sólidos, Associação Quilombo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xml:space="preserve">, Igreja Evangélica Pentecostal Primitiva, Terras do Meio, CEPLAC, </w:t>
            </w:r>
            <w:proofErr w:type="spellStart"/>
            <w:r w:rsidRPr="00A60268">
              <w:rPr>
                <w:rFonts w:ascii="Times New Roman" w:eastAsia="Times New Roman" w:hAnsi="Times New Roman" w:cs="Times New Roman"/>
                <w:sz w:val="20"/>
                <w:szCs w:val="20"/>
              </w:rPr>
              <w:t>ICMBio</w:t>
            </w:r>
            <w:proofErr w:type="spellEnd"/>
            <w:r w:rsidRPr="00A60268">
              <w:rPr>
                <w:rFonts w:ascii="Times New Roman" w:eastAsia="Times New Roman" w:hAnsi="Times New Roman" w:cs="Times New Roman"/>
                <w:sz w:val="20"/>
                <w:szCs w:val="20"/>
              </w:rPr>
              <w:t>, SEMA-Marituba. Além dos representantes do Instituto Evandro Chagas e do Instituto Ecologia Tropical.</w:t>
            </w:r>
          </w:p>
        </w:tc>
      </w:tr>
      <w:tr w:rsidR="00F95BC7" w:rsidRPr="00F95BC7" w14:paraId="568D05FD" w14:textId="77777777" w:rsidTr="00A60268">
        <w:trPr>
          <w:trHeight w:val="423"/>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651EA73D"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18ª Reunião Ordinária, no dia 28/09/2018, na área da unidade de conservação</w:t>
            </w:r>
          </w:p>
        </w:tc>
        <w:tc>
          <w:tcPr>
            <w:tcW w:w="7512" w:type="dxa"/>
            <w:tcBorders>
              <w:top w:val="nil"/>
              <w:left w:val="nil"/>
              <w:bottom w:val="single" w:sz="4" w:space="0" w:color="000000"/>
              <w:right w:val="single" w:sz="4" w:space="0" w:color="000000"/>
            </w:tcBorders>
            <w:shd w:val="clear" w:color="000000" w:fill="FFFFFF"/>
            <w:vAlign w:val="center"/>
            <w:hideMark/>
          </w:tcPr>
          <w:p w14:paraId="6402B2AA"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Conselheiros que assinaram a Ata foram os representantes do IDEFLOR-BIO, UFRA, UFPA, MPEG, Instituto Pirelli Socioambiental. No entanto, a Ata registra a presença dos conselheiros: Sema-Santa Izabel, Sema-Marituba, Associação Quilombola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xml:space="preserve"> e empresa Guamá tratamento de resíduos sólidos. Também os convidados do MPEG, Instituto Avaliação, ASFLORA, Sema-Marituba e cinco técnicos do IDEFLOR-BIO.</w:t>
            </w:r>
          </w:p>
        </w:tc>
      </w:tr>
      <w:tr w:rsidR="00F95BC7" w:rsidRPr="00F95BC7" w14:paraId="4F8BCE5F" w14:textId="77777777" w:rsidTr="00A60268">
        <w:trPr>
          <w:trHeight w:val="397"/>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7B2B99C4"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19ª Reunião Ordinária, no dia 27/11/2018, na sede do IDEFLOR-BIO</w:t>
            </w:r>
          </w:p>
        </w:tc>
        <w:tc>
          <w:tcPr>
            <w:tcW w:w="7512" w:type="dxa"/>
            <w:tcBorders>
              <w:top w:val="nil"/>
              <w:left w:val="nil"/>
              <w:bottom w:val="single" w:sz="4" w:space="0" w:color="000000"/>
              <w:right w:val="single" w:sz="4" w:space="0" w:color="000000"/>
            </w:tcBorders>
            <w:shd w:val="clear" w:color="000000" w:fill="FFFFFF"/>
            <w:vAlign w:val="center"/>
            <w:hideMark/>
          </w:tcPr>
          <w:p w14:paraId="52B6F2C2"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Conselheiros que assinaram a Ata foram os representantes do IDEFLOR-BIO, UFRA e MPEG. Mas o registro da Ata informa que também estavam presentes os conselheiros: Instituto Pirelli Socioambiental, UFPA e União de Centros Comunitários de Santa Izabel do Pará. Além dos convidados: Instituto Avaliação, Instituto Ecol. Tropical, CONAN e três técnicos do IDEFLOR-BIO.</w:t>
            </w:r>
          </w:p>
        </w:tc>
      </w:tr>
      <w:tr w:rsidR="00F95BC7" w:rsidRPr="00F95BC7" w14:paraId="36817DB1" w14:textId="77777777" w:rsidTr="00A60268">
        <w:trPr>
          <w:trHeight w:val="101"/>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417900CE"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20ª Reunião Ordinária, dia 25/04/2019, na sede do IDEFLOR-BIO</w:t>
            </w:r>
          </w:p>
        </w:tc>
        <w:tc>
          <w:tcPr>
            <w:tcW w:w="7512" w:type="dxa"/>
            <w:tcBorders>
              <w:top w:val="nil"/>
              <w:left w:val="nil"/>
              <w:bottom w:val="single" w:sz="4" w:space="0" w:color="000000"/>
              <w:right w:val="single" w:sz="4" w:space="0" w:color="000000"/>
            </w:tcBorders>
            <w:shd w:val="clear" w:color="000000" w:fill="FFFFFF"/>
            <w:vAlign w:val="center"/>
            <w:hideMark/>
          </w:tcPr>
          <w:p w14:paraId="5A20C70F"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Estiveram presentes os conselheiros representantes do IDEFLOR-BIO, CEPLAC, Empresa Guamá Resíduos Sólidos. Também consta como convidado cinco técnicos do IDEFLOR-BIO.</w:t>
            </w:r>
          </w:p>
        </w:tc>
      </w:tr>
      <w:tr w:rsidR="00F95BC7" w:rsidRPr="00F95BC7" w14:paraId="7C1A35C8" w14:textId="77777777" w:rsidTr="00A60268">
        <w:trPr>
          <w:trHeight w:val="1046"/>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20BFB0B7"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21ª Reunião Ordinária, no dia 30/08/2019, na sede do IDEFLOR-BIO</w:t>
            </w:r>
          </w:p>
        </w:tc>
        <w:tc>
          <w:tcPr>
            <w:tcW w:w="7512" w:type="dxa"/>
            <w:tcBorders>
              <w:top w:val="nil"/>
              <w:left w:val="nil"/>
              <w:bottom w:val="single" w:sz="4" w:space="0" w:color="000000"/>
              <w:right w:val="single" w:sz="4" w:space="0" w:color="000000"/>
            </w:tcBorders>
            <w:shd w:val="clear" w:color="000000" w:fill="FFFFFF"/>
            <w:vAlign w:val="center"/>
            <w:hideMark/>
          </w:tcPr>
          <w:p w14:paraId="74EB25E8"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Os conselheiros que assinaram a Ata foram os representantes do IDEFLOR-BIO, EMATER, UFRA, CEPLAC, MPEG, União dos centros comunitários de Santa Isabel, Instituto de Ecologia Tropical, Comunidades de Vila do Dique e Vila três Marcos, Empresa Guamá Tratamento de Resíduos Sólidos, Associação dos Quilombos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Batalhão de Polícia Ambiental, SEMA-Santa Izabel.</w:t>
            </w:r>
          </w:p>
        </w:tc>
      </w:tr>
      <w:tr w:rsidR="00F95BC7" w:rsidRPr="00F95BC7" w14:paraId="1D27B199" w14:textId="77777777" w:rsidTr="00A60268">
        <w:trPr>
          <w:trHeight w:val="136"/>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148E2748"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1ª Reunião Extraordinária, no dia 27/09/2019, na sede do IDEFLOR-BIO</w:t>
            </w:r>
          </w:p>
        </w:tc>
        <w:tc>
          <w:tcPr>
            <w:tcW w:w="7512" w:type="dxa"/>
            <w:tcBorders>
              <w:top w:val="nil"/>
              <w:left w:val="nil"/>
              <w:bottom w:val="single" w:sz="4" w:space="0" w:color="000000"/>
              <w:right w:val="single" w:sz="4" w:space="0" w:color="000000"/>
            </w:tcBorders>
            <w:shd w:val="clear" w:color="000000" w:fill="FFFFFF"/>
            <w:vAlign w:val="center"/>
            <w:hideMark/>
          </w:tcPr>
          <w:p w14:paraId="2C859EBE"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Os conselheiros que assinaram a Ata foram os representantes do IDEFLOR-BIO, MPEG, CEPLAC, Instituto Pirelli Socioambiental, União dos centros comunitários de Santa Isabel, Comunidades de Vila Dique e Vila três Marcos e Empresa Guamá Tratamento de Resíduos Sólidos.</w:t>
            </w:r>
          </w:p>
        </w:tc>
      </w:tr>
      <w:tr w:rsidR="00F95BC7" w:rsidRPr="00F95BC7" w14:paraId="6A9D1C3F" w14:textId="77777777" w:rsidTr="00A60268">
        <w:trPr>
          <w:trHeight w:val="70"/>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16D4F481"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22ª Reunião Ordinária, no dia 20/12/2019, na sede do IDEFLOR-BIO</w:t>
            </w:r>
          </w:p>
        </w:tc>
        <w:tc>
          <w:tcPr>
            <w:tcW w:w="7512" w:type="dxa"/>
            <w:tcBorders>
              <w:top w:val="nil"/>
              <w:left w:val="nil"/>
              <w:bottom w:val="single" w:sz="4" w:space="0" w:color="000000"/>
              <w:right w:val="single" w:sz="4" w:space="0" w:color="000000"/>
            </w:tcBorders>
            <w:shd w:val="clear" w:color="000000" w:fill="FFFFFF"/>
            <w:vAlign w:val="center"/>
            <w:hideMark/>
          </w:tcPr>
          <w:p w14:paraId="02B4BC01"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Os conselheiros que assinaram a Ata foram os representantes do Sema-Ananindeua, Sema-Marituba, SETUR, CEPLAC, Instituto Pirelli Socioambiental, União dos centros comunitários de Santa Isabel e Empresa Guamá Trat. de Resíduos Sólidos.</w:t>
            </w:r>
          </w:p>
        </w:tc>
      </w:tr>
      <w:tr w:rsidR="00F95BC7" w:rsidRPr="00F95BC7" w14:paraId="524E4F24" w14:textId="77777777" w:rsidTr="00A60268">
        <w:trPr>
          <w:trHeight w:val="70"/>
        </w:trPr>
        <w:tc>
          <w:tcPr>
            <w:tcW w:w="2122" w:type="dxa"/>
            <w:tcBorders>
              <w:top w:val="nil"/>
              <w:left w:val="single" w:sz="4" w:space="0" w:color="000000"/>
              <w:bottom w:val="single" w:sz="4" w:space="0" w:color="000000"/>
              <w:right w:val="single" w:sz="4" w:space="0" w:color="000000"/>
            </w:tcBorders>
            <w:shd w:val="clear" w:color="000000" w:fill="FFFFFF"/>
            <w:vAlign w:val="center"/>
            <w:hideMark/>
          </w:tcPr>
          <w:p w14:paraId="28518B56" w14:textId="77777777" w:rsidR="00A60268" w:rsidRPr="00A60268" w:rsidRDefault="00A60268" w:rsidP="00A60268">
            <w:pPr>
              <w:spacing w:after="0" w:line="240" w:lineRule="auto"/>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Ata 1ª da Reunião Ordinária conjunta de posse dos conselhos refúgio de vida silvestre, metrópole da Amazônia e APA da ilha do </w:t>
            </w:r>
            <w:proofErr w:type="spellStart"/>
            <w:r w:rsidRPr="00A60268">
              <w:rPr>
                <w:rFonts w:ascii="Times New Roman" w:eastAsia="Times New Roman" w:hAnsi="Times New Roman" w:cs="Times New Roman"/>
                <w:sz w:val="20"/>
                <w:szCs w:val="20"/>
              </w:rPr>
              <w:t>Combu</w:t>
            </w:r>
            <w:proofErr w:type="spellEnd"/>
            <w:r w:rsidRPr="00A60268">
              <w:rPr>
                <w:rFonts w:ascii="Times New Roman" w:eastAsia="Times New Roman" w:hAnsi="Times New Roman" w:cs="Times New Roman"/>
                <w:sz w:val="20"/>
                <w:szCs w:val="20"/>
              </w:rPr>
              <w:t xml:space="preserve"> - biênio 2020 a 2022</w:t>
            </w:r>
          </w:p>
        </w:tc>
        <w:tc>
          <w:tcPr>
            <w:tcW w:w="7512" w:type="dxa"/>
            <w:tcBorders>
              <w:top w:val="nil"/>
              <w:left w:val="nil"/>
              <w:bottom w:val="single" w:sz="4" w:space="0" w:color="000000"/>
              <w:right w:val="single" w:sz="4" w:space="0" w:color="000000"/>
            </w:tcBorders>
            <w:shd w:val="clear" w:color="000000" w:fill="FFFFFF"/>
            <w:vAlign w:val="center"/>
            <w:hideMark/>
          </w:tcPr>
          <w:p w14:paraId="5B5B22AE" w14:textId="77777777" w:rsidR="00A60268" w:rsidRPr="00A60268" w:rsidRDefault="00A60268" w:rsidP="00A60268">
            <w:pPr>
              <w:spacing w:after="0" w:line="240" w:lineRule="auto"/>
              <w:jc w:val="both"/>
              <w:rPr>
                <w:rFonts w:ascii="Times New Roman" w:eastAsia="Times New Roman" w:hAnsi="Times New Roman" w:cs="Times New Roman"/>
                <w:sz w:val="20"/>
                <w:szCs w:val="20"/>
              </w:rPr>
            </w:pPr>
            <w:r w:rsidRPr="00A60268">
              <w:rPr>
                <w:rFonts w:ascii="Times New Roman" w:eastAsia="Times New Roman" w:hAnsi="Times New Roman" w:cs="Times New Roman"/>
                <w:sz w:val="20"/>
                <w:szCs w:val="20"/>
              </w:rPr>
              <w:t xml:space="preserve">Os conselheiros que assinaram a lista de frequência da reunião foram os representantes do CEPLAC, IDEFLOR-BIO, ICMBIO, MPEG, SEMA-Ananindeua, SEMA-Marituba, SEMA-Santa Izabel, SETUR, FACTUR/UFPA, AMCOB, Associação dos Moradores e Produtores Rurais Quilombolas do </w:t>
            </w:r>
            <w:proofErr w:type="spellStart"/>
            <w:r w:rsidRPr="00A60268">
              <w:rPr>
                <w:rFonts w:ascii="Times New Roman" w:eastAsia="Times New Roman" w:hAnsi="Times New Roman" w:cs="Times New Roman"/>
                <w:sz w:val="20"/>
                <w:szCs w:val="20"/>
              </w:rPr>
              <w:t>Abacatal</w:t>
            </w:r>
            <w:proofErr w:type="spellEnd"/>
            <w:r w:rsidRPr="00A60268">
              <w:rPr>
                <w:rFonts w:ascii="Times New Roman" w:eastAsia="Times New Roman" w:hAnsi="Times New Roman" w:cs="Times New Roman"/>
                <w:sz w:val="20"/>
                <w:szCs w:val="20"/>
              </w:rPr>
              <w:t xml:space="preserve"> – </w:t>
            </w:r>
            <w:proofErr w:type="spellStart"/>
            <w:r w:rsidRPr="00A60268">
              <w:rPr>
                <w:rFonts w:ascii="Times New Roman" w:eastAsia="Times New Roman" w:hAnsi="Times New Roman" w:cs="Times New Roman"/>
                <w:sz w:val="20"/>
                <w:szCs w:val="20"/>
              </w:rPr>
              <w:t>Aurá</w:t>
            </w:r>
            <w:proofErr w:type="spellEnd"/>
            <w:r w:rsidRPr="00A60268">
              <w:rPr>
                <w:rFonts w:ascii="Times New Roman" w:eastAsia="Times New Roman" w:hAnsi="Times New Roman" w:cs="Times New Roman"/>
                <w:sz w:val="20"/>
                <w:szCs w:val="20"/>
              </w:rPr>
              <w:t>, AAMV-Marituba, Comunidade local Vila do Dique e Três Marcos, CONTREVYS, Empresa Guamá tratamento de Resíduos, Igreja Evangélica Pentecostal Primitiva, Instituto de Ecologia Tropical, Instituto Socioambiental Pirelli, União dos Centros Comunitária de Santa Izabel do Pará e ONG Anani.</w:t>
            </w:r>
          </w:p>
        </w:tc>
      </w:tr>
    </w:tbl>
    <w:p w14:paraId="21F25F5F" w14:textId="77777777" w:rsidR="003137C0" w:rsidRPr="00F95BC7" w:rsidRDefault="004F6FC7">
      <w:pPr>
        <w:spacing w:after="0" w:line="360" w:lineRule="auto"/>
        <w:ind w:firstLine="709"/>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Fonte: Elaborado pelos autores.</w:t>
      </w:r>
    </w:p>
    <w:p w14:paraId="6C0B991E" w14:textId="77777777" w:rsidR="00A60268" w:rsidRPr="00F95BC7" w:rsidRDefault="00A60268" w:rsidP="00A60268">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 sociedade civil é representada pela Associação de Moradores e Produtores Rurais Quilombolas de </w:t>
      </w:r>
      <w:proofErr w:type="spellStart"/>
      <w:r w:rsidRPr="00F95BC7">
        <w:rPr>
          <w:rFonts w:ascii="Times New Roman" w:eastAsia="Times New Roman" w:hAnsi="Times New Roman" w:cs="Times New Roman"/>
          <w:sz w:val="24"/>
          <w:szCs w:val="24"/>
        </w:rPr>
        <w:t>Abacatal</w:t>
      </w:r>
      <w:proofErr w:type="spellEnd"/>
      <w:r w:rsidRPr="00F95BC7">
        <w:rPr>
          <w:rFonts w:ascii="Times New Roman" w:eastAsia="Times New Roman" w:hAnsi="Times New Roman" w:cs="Times New Roman"/>
          <w:sz w:val="24"/>
          <w:szCs w:val="24"/>
        </w:rPr>
        <w:t>/</w:t>
      </w:r>
      <w:proofErr w:type="spellStart"/>
      <w:r w:rsidRPr="00F95BC7">
        <w:rPr>
          <w:rFonts w:ascii="Times New Roman" w:eastAsia="Times New Roman" w:hAnsi="Times New Roman" w:cs="Times New Roman"/>
          <w:sz w:val="24"/>
          <w:szCs w:val="24"/>
        </w:rPr>
        <w:t>Aurá</w:t>
      </w:r>
      <w:proofErr w:type="spellEnd"/>
      <w:r w:rsidRPr="00F95BC7">
        <w:rPr>
          <w:rFonts w:ascii="Times New Roman" w:eastAsia="Times New Roman" w:hAnsi="Times New Roman" w:cs="Times New Roman"/>
          <w:sz w:val="24"/>
          <w:szCs w:val="24"/>
        </w:rPr>
        <w:t xml:space="preserve">; Associação Agrícola de Moradores do Conjunto Beija Flor-AMCOB; Comunidade Local Santo Amaro; Comunidade Local Vila do Dique e Vila Três Marcos; União de Centros Comunitários de Santa Izabel do Pará; Instituto Socioambiental Pirelli; Instituto de </w:t>
      </w:r>
      <w:r w:rsidRPr="00F95BC7">
        <w:rPr>
          <w:rFonts w:ascii="Times New Roman" w:eastAsia="Times New Roman" w:hAnsi="Times New Roman" w:cs="Times New Roman"/>
          <w:sz w:val="24"/>
          <w:szCs w:val="24"/>
        </w:rPr>
        <w:lastRenderedPageBreak/>
        <w:t xml:space="preserve">Ecologia Tropical; Igreja Evangélica Pentecostal Primitiva; ONG </w:t>
      </w:r>
      <w:proofErr w:type="spellStart"/>
      <w:r w:rsidRPr="00F95BC7">
        <w:rPr>
          <w:rFonts w:ascii="Times New Roman" w:eastAsia="Times New Roman" w:hAnsi="Times New Roman" w:cs="Times New Roman"/>
          <w:sz w:val="24"/>
          <w:szCs w:val="24"/>
        </w:rPr>
        <w:t>Ananin</w:t>
      </w:r>
      <w:proofErr w:type="spellEnd"/>
      <w:r w:rsidRPr="00F95BC7">
        <w:rPr>
          <w:rFonts w:ascii="Times New Roman" w:eastAsia="Times New Roman" w:hAnsi="Times New Roman" w:cs="Times New Roman"/>
          <w:sz w:val="24"/>
          <w:szCs w:val="24"/>
        </w:rPr>
        <w:t xml:space="preserve"> Ambientalistas; Terra do Meio; e Empresa Guamá-Tratamento de Resíduos</w:t>
      </w:r>
      <w:r w:rsidRPr="00F95BC7">
        <w:rPr>
          <w:rFonts w:ascii="Times New Roman" w:eastAsia="Times New Roman" w:hAnsi="Times New Roman" w:cs="Times New Roman"/>
          <w:sz w:val="24"/>
          <w:szCs w:val="24"/>
          <w:vertAlign w:val="superscript"/>
        </w:rPr>
        <w:footnoteReference w:id="8"/>
      </w:r>
      <w:r w:rsidRPr="00F95BC7">
        <w:rPr>
          <w:rFonts w:ascii="Times New Roman" w:eastAsia="Times New Roman" w:hAnsi="Times New Roman" w:cs="Times New Roman"/>
          <w:sz w:val="24"/>
          <w:szCs w:val="24"/>
        </w:rPr>
        <w:t>. Os representantes do poder público são: IDEFLOR-BIO (Presidente); Batalhão de Policiamento Ambiental - BPA; EMATER; Secretaria Municipal de Meio Ambiente de Ananindeua/PA; Secretaria Municipal de Meio Ambiente de Marituba/PA; Secretaria Municipal de Meio Ambiente de Santa Izabel/PA; Secretaria de Estado de Turismo - SETUR; UFPA; UFRA; MPEG; Instituto Chico Mendes de Conservação da Biodiversidade - ICMBIO; Comissão Executiva do Plano da Lavoura Cacaueira - CEPLAC.</w:t>
      </w:r>
    </w:p>
    <w:p w14:paraId="13FE03FF" w14:textId="77777777" w:rsidR="00A60268" w:rsidRPr="00F95BC7" w:rsidRDefault="00A60268" w:rsidP="00A60268">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 IDEFLOR-BIO disponibiliza em sítio eletrônico as Atas do Conselho Gestor no período de 2015 a 2020, correspondendo da 7ª à 22ª Atas de reuniões, referente aos anos de 2015-2019, e à primeira reunião do novo Conselho Gestor, conduzida em 13/01/2020</w:t>
      </w:r>
      <w:r w:rsidRPr="00F95BC7">
        <w:rPr>
          <w:rFonts w:ascii="Times New Roman" w:eastAsia="Times New Roman" w:hAnsi="Times New Roman" w:cs="Times New Roman"/>
          <w:sz w:val="24"/>
          <w:szCs w:val="24"/>
          <w:vertAlign w:val="superscript"/>
        </w:rPr>
        <w:footnoteReference w:id="9"/>
      </w:r>
      <w:r w:rsidRPr="00F95BC7">
        <w:rPr>
          <w:rFonts w:ascii="Times New Roman" w:eastAsia="Times New Roman" w:hAnsi="Times New Roman" w:cs="Times New Roman"/>
          <w:sz w:val="24"/>
          <w:szCs w:val="24"/>
        </w:rPr>
        <w:t>. Até a 15ª reunião, as atas não estão assinadas, impossibilitando confirmar participações, nem sua validade. Porém, é possível identificar a baixa participação por meio das atas da 16ª a 22ª, conforme visto no quadro 02, com os presentes nas reuniões. Cabe destacar que o Regimento Interno Conselho do REVIS, publicado em 19/06/2017 (DOE nº 33397), não estabelece critérios ou restrições a ausências dos conselheiros nas reuniões e nas assembleias gerais.</w:t>
      </w:r>
    </w:p>
    <w:p w14:paraId="55D874F4" w14:textId="1C044D98" w:rsidR="00A60268" w:rsidRPr="00F95BC7" w:rsidRDefault="00A60268" w:rsidP="00A60268">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Das três instituições notificadas apenas uma apresentou justificativa, a Cooperativa Beija-flor (Marituba). Entretanto, a ata não menciona a justificativa da cooperativa. As outras duas instituições foram a Secretaria de Estado de Turismo e a Comunidade Santo Amaro. Além disso, a ata registra que após o falecimento do representante do restaurante Terra do Meio houve vacância do assento.</w:t>
      </w:r>
    </w:p>
    <w:p w14:paraId="70297470" w14:textId="3F5FB611" w:rsidR="003137C0" w:rsidRPr="00F95BC7" w:rsidRDefault="004F6FC7">
      <w:pPr>
        <w:shd w:val="clear" w:color="auto" w:fill="FFFFFF"/>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Em 13/01/2020 o conselho gestor do REVIS foi renovado, por meio da Portaria </w:t>
      </w:r>
      <w:r w:rsidR="002571E7" w:rsidRPr="00F95BC7">
        <w:rPr>
          <w:rFonts w:ascii="Times New Roman" w:eastAsia="Times New Roman" w:hAnsi="Times New Roman" w:cs="Times New Roman"/>
          <w:sz w:val="24"/>
          <w:szCs w:val="24"/>
        </w:rPr>
        <w:t xml:space="preserve">IDEFLOR-BIO </w:t>
      </w:r>
      <w:r w:rsidRPr="00F95BC7">
        <w:rPr>
          <w:rFonts w:ascii="Times New Roman" w:eastAsia="Times New Roman" w:hAnsi="Times New Roman" w:cs="Times New Roman"/>
          <w:sz w:val="24"/>
          <w:szCs w:val="24"/>
        </w:rPr>
        <w:t xml:space="preserve">nº 011/2020. A primeira reunião do novo conselho contou com a participação de quase todos os membros, tendo como ausentes apenas o Batalhão da Polícia Ambiental e a UFRA. Até a conclusão deste artigo só foi publicada no site do </w:t>
      </w:r>
      <w:r w:rsidR="002571E7" w:rsidRPr="00F95BC7">
        <w:rPr>
          <w:rFonts w:ascii="Times New Roman" w:eastAsia="Times New Roman" w:hAnsi="Times New Roman" w:cs="Times New Roman"/>
          <w:sz w:val="24"/>
          <w:szCs w:val="24"/>
        </w:rPr>
        <w:t xml:space="preserve">IDEFLOR-BIO </w:t>
      </w:r>
      <w:r w:rsidRPr="00F95BC7">
        <w:rPr>
          <w:rFonts w:ascii="Times New Roman" w:eastAsia="Times New Roman" w:hAnsi="Times New Roman" w:cs="Times New Roman"/>
          <w:sz w:val="24"/>
          <w:szCs w:val="24"/>
        </w:rPr>
        <w:t>a primeira reunião de 2020.</w:t>
      </w:r>
    </w:p>
    <w:p w14:paraId="0164CCF9" w14:textId="77777777" w:rsidR="003137C0" w:rsidRPr="00F95BC7" w:rsidRDefault="004F6FC7">
      <w:pPr>
        <w:pStyle w:val="Ttulo1"/>
        <w:spacing w:before="0" w:line="360" w:lineRule="auto"/>
        <w:ind w:firstLine="708"/>
        <w:rPr>
          <w:rFonts w:ascii="Times New Roman" w:eastAsia="Times New Roman" w:hAnsi="Times New Roman" w:cs="Times New Roman"/>
          <w:b/>
          <w:color w:val="auto"/>
          <w:sz w:val="24"/>
          <w:szCs w:val="24"/>
        </w:rPr>
      </w:pPr>
      <w:r w:rsidRPr="00F95BC7">
        <w:rPr>
          <w:rFonts w:ascii="Times New Roman" w:eastAsia="Times New Roman" w:hAnsi="Times New Roman" w:cs="Times New Roman"/>
          <w:b/>
          <w:color w:val="auto"/>
          <w:sz w:val="24"/>
          <w:szCs w:val="24"/>
        </w:rPr>
        <w:t>Parque Estadual do Utinga</w:t>
      </w:r>
    </w:p>
    <w:p w14:paraId="13182FAC"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De proteção integral, foi criado por meio do Decreto Estadual nº. 1552/1993, mas seus limites físicos foram restabelecidos em 2008, por meio do Decreto Estadual nº. 265/2011. Possui 1.393,088 ha, sendo 98% em Belém e 2% em Ananindeua (IDEFLOR-BIO, 2020). De acordo com Silva e Silva (2017), foi criado com o objetivo de proteger os mananciais de água dos lagos Bolonha e Água Preta.</w:t>
      </w:r>
    </w:p>
    <w:p w14:paraId="21E98A57"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lastRenderedPageBreak/>
        <w:t>Possui importância também decorrente do paisagismo e da possibilidade de contemplação da natureza, pois está na RMB, que sofre processo de crescente urbanização e ocupação desordenada de áreas do entorno do parque (HENDERSON, 2014), além de ser espaço de lazer para caminhadas, turismo de trilhas, visitações escolares etc. (SILVA; SILVA, 2017). Ou seja, trata-se de UC inserida no cotidiano da população da RMB, mesmo de quem não a frequenta.</w:t>
      </w:r>
    </w:p>
    <w:p w14:paraId="176CFB12" w14:textId="73AFA021" w:rsidR="003137C0" w:rsidRPr="00F95BC7" w:rsidRDefault="004F6FC7">
      <w:pPr>
        <w:spacing w:after="0" w:line="360" w:lineRule="auto"/>
        <w:ind w:firstLine="708"/>
        <w:jc w:val="both"/>
        <w:rPr>
          <w:rFonts w:ascii="Times New Roman" w:eastAsia="Times New Roman" w:hAnsi="Times New Roman" w:cs="Times New Roman"/>
          <w:sz w:val="24"/>
          <w:szCs w:val="24"/>
        </w:rPr>
      </w:pPr>
      <w:bookmarkStart w:id="2" w:name="_heading=h.30j0zll" w:colFirst="0" w:colLast="0"/>
      <w:bookmarkEnd w:id="2"/>
      <w:r w:rsidRPr="00F95BC7">
        <w:rPr>
          <w:rFonts w:ascii="Times New Roman" w:eastAsia="Times New Roman" w:hAnsi="Times New Roman" w:cs="Times New Roman"/>
          <w:sz w:val="24"/>
          <w:szCs w:val="24"/>
        </w:rPr>
        <w:t xml:space="preserve">Seu conselho gestor foi instituído por meio da Portaria nº.1.365/2009 da Secretaria de Estado de Meio Ambiente, atualmente Secretaria de Estado de Meio Ambiente e Sustentabilidade - SEMAS. De acordo com o sítio eletrônico do </w:t>
      </w:r>
      <w:r w:rsidR="002571E7" w:rsidRPr="00F95BC7">
        <w:rPr>
          <w:rFonts w:ascii="Times New Roman" w:eastAsia="Times New Roman" w:hAnsi="Times New Roman" w:cs="Times New Roman"/>
          <w:sz w:val="24"/>
          <w:szCs w:val="24"/>
        </w:rPr>
        <w:t>IDEFLOR-BIO</w:t>
      </w:r>
      <w:r w:rsidRPr="00F95BC7">
        <w:rPr>
          <w:rFonts w:ascii="Times New Roman" w:eastAsia="Times New Roman" w:hAnsi="Times New Roman" w:cs="Times New Roman"/>
          <w:sz w:val="24"/>
          <w:szCs w:val="24"/>
        </w:rPr>
        <w:t>, o conselho é formado por 24 instituições, sendo 12 representantes de órgãos governamentais e 12 representantes da sociedade civil organizada, e respectivos suplentes</w:t>
      </w:r>
      <w:r w:rsidRPr="00F95BC7">
        <w:rPr>
          <w:rFonts w:ascii="Times New Roman" w:eastAsia="Times New Roman" w:hAnsi="Times New Roman" w:cs="Times New Roman"/>
          <w:sz w:val="24"/>
          <w:szCs w:val="24"/>
          <w:vertAlign w:val="superscript"/>
        </w:rPr>
        <w:footnoteReference w:id="10"/>
      </w:r>
      <w:r w:rsidRPr="00F95BC7">
        <w:rPr>
          <w:rFonts w:ascii="Times New Roman" w:eastAsia="Times New Roman" w:hAnsi="Times New Roman" w:cs="Times New Roman"/>
          <w:sz w:val="24"/>
          <w:szCs w:val="24"/>
        </w:rPr>
        <w:t xml:space="preserve">. Os órgãos governamentais são: Polícia Militar, COSANPA, EMBRAPA, Fundação Cultural do Pará, ICMBIO, IDEFLOR-BIO, NUMA/UFPA, SECULT, SEMMA-Belém, SETUR e SECTET. Não há representantes dos órgãos governamentais de Ananindeua na UC. </w:t>
      </w:r>
    </w:p>
    <w:p w14:paraId="4AE899FF" w14:textId="3335FBA1"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ab/>
        <w:t>A sociedade civil é representada pelas associações: Comunitária Parque Cabanagem, dos Engenheiros Sanitaristas do Pará, de Moradores do Bairro da Castanheira, Novo Encanto de Desenvolvimento Ecológico, de Moradores do Parque do Utinga – Águas Lindas</w:t>
      </w:r>
      <w:r w:rsidR="005578C8" w:rsidRPr="00F95BC7">
        <w:rPr>
          <w:rFonts w:ascii="Times New Roman" w:eastAsia="Times New Roman" w:hAnsi="Times New Roman" w:cs="Times New Roman"/>
          <w:sz w:val="24"/>
          <w:szCs w:val="24"/>
        </w:rPr>
        <w:t xml:space="preserve"> –; </w:t>
      </w:r>
      <w:r w:rsidRPr="00F95BC7">
        <w:rPr>
          <w:rFonts w:ascii="Times New Roman" w:eastAsia="Times New Roman" w:hAnsi="Times New Roman" w:cs="Times New Roman"/>
          <w:sz w:val="24"/>
          <w:szCs w:val="24"/>
        </w:rPr>
        <w:t>e pelo Centro Comunitário da Passagem Cruzeiro Unidos com Pantanal, IMAZON, ONG Ambientalistas Ananin, UNAMA (IDEFLOR-BIO, 2016). Destas, três são localizadas em Ananindeua, as duas últimas e a Associação de Moradores do Parque do Utinga – Águas Lindas.</w:t>
      </w:r>
    </w:p>
    <w:p w14:paraId="26E3934C" w14:textId="77777777" w:rsidR="0066199A"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parque possui estrutura de gestão compartilhada entre os setores público e privado. A gestão turística é organizada pela Organização Social Pará 2000, associação privada sem fins lucrativos, que possui contrato de gestão com o Governo do Pará, por meio da SETUR. Nos termos do IDEFLOR-BIO (2018), a OS é responsável por gerir os equipamentos turísticos do Parque, fornecer pessoal qualificado para a prestação dos serviços oferecidos e a manter a infraestrutura do espaço. </w:t>
      </w:r>
    </w:p>
    <w:p w14:paraId="5868B386" w14:textId="1DF66676" w:rsidR="003137C0" w:rsidRPr="00F95BC7" w:rsidRDefault="0066199A">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Por sua vez,</w:t>
      </w:r>
      <w:r w:rsidR="004F6FC7" w:rsidRPr="00F95BC7">
        <w:rPr>
          <w:rFonts w:ascii="Times New Roman" w:eastAsia="Times New Roman" w:hAnsi="Times New Roman" w:cs="Times New Roman"/>
          <w:sz w:val="24"/>
          <w:szCs w:val="24"/>
        </w:rPr>
        <w:t xml:space="preserve"> a gestão ambiental como manejo florestal é da competência do IDEFLOR-BIO. Registre-se que não foi possível acessar o citado contrato de gestão por meio dos canais de transparência ativa do estado</w:t>
      </w:r>
      <w:r w:rsidR="006E327D" w:rsidRPr="00F95BC7">
        <w:rPr>
          <w:rFonts w:ascii="Times New Roman" w:eastAsia="Times New Roman" w:hAnsi="Times New Roman" w:cs="Times New Roman"/>
          <w:sz w:val="24"/>
          <w:szCs w:val="24"/>
        </w:rPr>
        <w:t xml:space="preserve"> no período da pesquisa</w:t>
      </w:r>
      <w:r w:rsidR="006E327D" w:rsidRPr="00F95BC7">
        <w:rPr>
          <w:rStyle w:val="Refdenotaderodap"/>
          <w:rFonts w:ascii="Times New Roman" w:eastAsia="Times New Roman" w:hAnsi="Times New Roman" w:cs="Times New Roman"/>
          <w:sz w:val="24"/>
          <w:szCs w:val="24"/>
        </w:rPr>
        <w:footnoteReference w:id="11"/>
      </w:r>
      <w:r w:rsidR="004F6FC7" w:rsidRPr="00F95BC7">
        <w:rPr>
          <w:rFonts w:ascii="Times New Roman" w:eastAsia="Times New Roman" w:hAnsi="Times New Roman" w:cs="Times New Roman"/>
          <w:sz w:val="24"/>
          <w:szCs w:val="24"/>
        </w:rPr>
        <w:t>. Cabe destacar que a OS que gerencia a UC não participa do conselho gestor, desvinculando os interesses entre as ações ambientais e turísticas do parque. Além disso, a participação do município de Ananindeua é nula no conselho gestor, não existindo assento para prefeitura.</w:t>
      </w:r>
    </w:p>
    <w:p w14:paraId="43BC02C8" w14:textId="6EF7F08E" w:rsidR="003137C0" w:rsidRPr="00F95BC7" w:rsidRDefault="004F6FC7" w:rsidP="00F95BC7">
      <w:pPr>
        <w:pStyle w:val="Ttulo1"/>
        <w:spacing w:before="0" w:line="360" w:lineRule="auto"/>
        <w:ind w:firstLine="708"/>
        <w:rPr>
          <w:rFonts w:ascii="Times New Roman" w:eastAsia="Times New Roman" w:hAnsi="Times New Roman" w:cs="Times New Roman"/>
          <w:b/>
          <w:color w:val="auto"/>
          <w:sz w:val="24"/>
          <w:szCs w:val="24"/>
        </w:rPr>
      </w:pPr>
      <w:r w:rsidRPr="00F95BC7">
        <w:rPr>
          <w:rFonts w:ascii="Times New Roman" w:eastAsia="Times New Roman" w:hAnsi="Times New Roman" w:cs="Times New Roman"/>
          <w:b/>
          <w:color w:val="auto"/>
          <w:sz w:val="24"/>
          <w:szCs w:val="24"/>
        </w:rPr>
        <w:lastRenderedPageBreak/>
        <w:t>Parque Ambiental Antônio Danúbio Lourenço da Silva</w:t>
      </w:r>
    </w:p>
    <w:p w14:paraId="1EC38A1A" w14:textId="67334D84"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Com gestão da prefeitura de Ananindeua é Área de Relevante Interesse Ecológico (ARIE), de uso sustentável. Seus objetivos são: (i) manter o ecossistema natural de importância regional e local; (</w:t>
      </w:r>
      <w:proofErr w:type="spellStart"/>
      <w:r w:rsidRPr="00F95BC7">
        <w:rPr>
          <w:rFonts w:ascii="Times New Roman" w:eastAsia="Times New Roman" w:hAnsi="Times New Roman" w:cs="Times New Roman"/>
          <w:sz w:val="24"/>
          <w:szCs w:val="24"/>
        </w:rPr>
        <w:t>ii</w:t>
      </w:r>
      <w:proofErr w:type="spellEnd"/>
      <w:r w:rsidRPr="00F95BC7">
        <w:rPr>
          <w:rFonts w:ascii="Times New Roman" w:eastAsia="Times New Roman" w:hAnsi="Times New Roman" w:cs="Times New Roman"/>
          <w:sz w:val="24"/>
          <w:szCs w:val="24"/>
        </w:rPr>
        <w:t>) garantir a preservação e a proteção da fauna e da flora local; (</w:t>
      </w:r>
      <w:proofErr w:type="spellStart"/>
      <w:r w:rsidRPr="00F95BC7">
        <w:rPr>
          <w:rFonts w:ascii="Times New Roman" w:eastAsia="Times New Roman" w:hAnsi="Times New Roman" w:cs="Times New Roman"/>
          <w:sz w:val="24"/>
          <w:szCs w:val="24"/>
        </w:rPr>
        <w:t>iii</w:t>
      </w:r>
      <w:proofErr w:type="spellEnd"/>
      <w:r w:rsidRPr="00F95BC7">
        <w:rPr>
          <w:rFonts w:ascii="Times New Roman" w:eastAsia="Times New Roman" w:hAnsi="Times New Roman" w:cs="Times New Roman"/>
          <w:sz w:val="24"/>
          <w:szCs w:val="24"/>
        </w:rPr>
        <w:t>) promover a utilização dos componentes naturais na educação ambiental, com a finalidade de tornar a comunidade parceira na conservação do patrimônio natural do município; (</w:t>
      </w:r>
      <w:proofErr w:type="spellStart"/>
      <w:r w:rsidRPr="00F95BC7">
        <w:rPr>
          <w:rFonts w:ascii="Times New Roman" w:eastAsia="Times New Roman" w:hAnsi="Times New Roman" w:cs="Times New Roman"/>
          <w:sz w:val="24"/>
          <w:szCs w:val="24"/>
        </w:rPr>
        <w:t>iv</w:t>
      </w:r>
      <w:proofErr w:type="spellEnd"/>
      <w:r w:rsidRPr="00F95BC7">
        <w:rPr>
          <w:rFonts w:ascii="Times New Roman" w:eastAsia="Times New Roman" w:hAnsi="Times New Roman" w:cs="Times New Roman"/>
          <w:sz w:val="24"/>
          <w:szCs w:val="24"/>
        </w:rPr>
        <w:t>) proporcionar à população condições de exercer atividades culturais, educativas, recreativas e de lazer em ambiente natural equilibrado.</w:t>
      </w:r>
    </w:p>
    <w:p w14:paraId="4E95B9F2" w14:textId="77777777" w:rsidR="003137C0" w:rsidRPr="00F95BC7" w:rsidRDefault="004F6FC7">
      <w:pPr>
        <w:spacing w:after="0" w:line="240" w:lineRule="auto"/>
        <w:ind w:firstLine="709"/>
        <w:rPr>
          <w:rFonts w:ascii="Times New Roman" w:eastAsia="Times New Roman" w:hAnsi="Times New Roman" w:cs="Times New Roman"/>
          <w:sz w:val="24"/>
          <w:szCs w:val="24"/>
        </w:rPr>
      </w:pPr>
      <w:r w:rsidRPr="00F95BC7">
        <w:rPr>
          <w:rFonts w:ascii="Times New Roman" w:eastAsia="Times New Roman" w:hAnsi="Times New Roman" w:cs="Times New Roman"/>
          <w:b/>
          <w:sz w:val="24"/>
          <w:szCs w:val="24"/>
        </w:rPr>
        <w:t xml:space="preserve">Figura 2 – </w:t>
      </w:r>
      <w:r w:rsidRPr="00F95BC7">
        <w:rPr>
          <w:rFonts w:ascii="Times New Roman" w:eastAsia="Times New Roman" w:hAnsi="Times New Roman" w:cs="Times New Roman"/>
          <w:sz w:val="24"/>
          <w:szCs w:val="24"/>
        </w:rPr>
        <w:t>Mapa da unidade de conservação Parque Ambiental Antônio Danúbio</w:t>
      </w:r>
    </w:p>
    <w:p w14:paraId="610B6316" w14:textId="77777777" w:rsidR="003137C0" w:rsidRPr="00F95BC7" w:rsidRDefault="004F6FC7">
      <w:pPr>
        <w:spacing w:after="0" w:line="240" w:lineRule="auto"/>
        <w:ind w:firstLine="709"/>
        <w:rPr>
          <w:rFonts w:ascii="Times New Roman" w:eastAsia="Times New Roman" w:hAnsi="Times New Roman" w:cs="Times New Roman"/>
          <w:b/>
          <w:sz w:val="24"/>
          <w:szCs w:val="24"/>
        </w:rPr>
      </w:pPr>
      <w:r w:rsidRPr="00F95BC7">
        <w:rPr>
          <w:rFonts w:ascii="Times New Roman" w:eastAsia="Times New Roman" w:hAnsi="Times New Roman" w:cs="Times New Roman"/>
          <w:b/>
          <w:noProof/>
          <w:sz w:val="24"/>
          <w:szCs w:val="24"/>
        </w:rPr>
        <w:drawing>
          <wp:inline distT="0" distB="0" distL="0" distR="0" wp14:anchorId="0A7E0D26" wp14:editId="7F5BB253">
            <wp:extent cx="5229225" cy="4981575"/>
            <wp:effectExtent l="0" t="0" r="9525" b="9525"/>
            <wp:docPr id="20" name="image3.jpg"/>
            <wp:cNvGraphicFramePr/>
            <a:graphic xmlns:a="http://schemas.openxmlformats.org/drawingml/2006/main">
              <a:graphicData uri="http://schemas.openxmlformats.org/drawingml/2006/picture">
                <pic:pic xmlns:pic="http://schemas.openxmlformats.org/drawingml/2006/picture">
                  <pic:nvPicPr>
                    <pic:cNvPr id="20" name="image3.jpg"/>
                    <pic:cNvPicPr preferRelativeResize="0"/>
                  </pic:nvPicPr>
                  <pic:blipFill>
                    <a:blip r:embed="rId12">
                      <a:grayscl/>
                    </a:blip>
                    <a:srcRect/>
                    <a:stretch>
                      <a:fillRect/>
                    </a:stretch>
                  </pic:blipFill>
                  <pic:spPr>
                    <a:xfrm>
                      <a:off x="0" y="0"/>
                      <a:ext cx="5229225" cy="4981575"/>
                    </a:xfrm>
                    <a:prstGeom prst="rect">
                      <a:avLst/>
                    </a:prstGeom>
                  </pic:spPr>
                </pic:pic>
              </a:graphicData>
            </a:graphic>
          </wp:inline>
        </w:drawing>
      </w:r>
    </w:p>
    <w:p w14:paraId="0CE52B98" w14:textId="77777777" w:rsidR="003137C0" w:rsidRPr="00F95BC7" w:rsidRDefault="004F6FC7">
      <w:pPr>
        <w:spacing w:after="0" w:line="360" w:lineRule="auto"/>
        <w:ind w:firstLine="709"/>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Fonte: SANTOS; SIMONIAN; FERNANDES, 2019.</w:t>
      </w:r>
    </w:p>
    <w:p w14:paraId="35089935" w14:textId="77777777" w:rsidR="00577244"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Localizado no perímetro urbano do município de Ananindeua – PA, possui 3,544 hectares de área total. Compõem a estrutura do parque conforme o MMA (2019): sede administrativa, quiosques de educação ambiental, anfiteatro, auditório com sala de projeção, trilhas sinalizadas, ‘</w:t>
      </w:r>
      <w:proofErr w:type="spellStart"/>
      <w:r w:rsidRPr="00F95BC7">
        <w:rPr>
          <w:rFonts w:ascii="Times New Roman" w:eastAsia="Times New Roman" w:hAnsi="Times New Roman" w:cs="Times New Roman"/>
          <w:sz w:val="24"/>
          <w:szCs w:val="24"/>
        </w:rPr>
        <w:t>Bio</w:t>
      </w:r>
      <w:proofErr w:type="spellEnd"/>
      <w:r w:rsidRPr="00F95BC7">
        <w:rPr>
          <w:rFonts w:ascii="Times New Roman" w:eastAsia="Times New Roman" w:hAnsi="Times New Roman" w:cs="Times New Roman"/>
          <w:sz w:val="24"/>
          <w:szCs w:val="24"/>
        </w:rPr>
        <w:t xml:space="preserve"> Sala’, jardim sensorial, viveiro, Casa na Árvore, complexo de educação ambiental, nascente dos lagos Utinga, Bolonha e Água Preta. Mendes et al. (2013) apresentam outras características do parque, que </w:t>
      </w:r>
      <w:r w:rsidRPr="00F95BC7">
        <w:rPr>
          <w:rFonts w:ascii="Times New Roman" w:eastAsia="Times New Roman" w:hAnsi="Times New Roman" w:cs="Times New Roman"/>
          <w:sz w:val="24"/>
          <w:szCs w:val="24"/>
        </w:rPr>
        <w:lastRenderedPageBreak/>
        <w:t>possui várias árvores típicas da região, inclusive pés de anani (</w:t>
      </w:r>
      <w:proofErr w:type="spellStart"/>
      <w:r w:rsidRPr="00F95BC7">
        <w:rPr>
          <w:rFonts w:ascii="Times New Roman" w:eastAsia="Times New Roman" w:hAnsi="Times New Roman" w:cs="Times New Roman"/>
          <w:i/>
          <w:sz w:val="24"/>
          <w:szCs w:val="24"/>
        </w:rPr>
        <w:t>Symphonia</w:t>
      </w:r>
      <w:proofErr w:type="spellEnd"/>
      <w:r w:rsidRPr="00F95BC7">
        <w:rPr>
          <w:rFonts w:ascii="Times New Roman" w:eastAsia="Times New Roman" w:hAnsi="Times New Roman" w:cs="Times New Roman"/>
          <w:i/>
          <w:sz w:val="24"/>
          <w:szCs w:val="24"/>
        </w:rPr>
        <w:t xml:space="preserve"> </w:t>
      </w:r>
      <w:proofErr w:type="spellStart"/>
      <w:r w:rsidRPr="00F95BC7">
        <w:rPr>
          <w:rFonts w:ascii="Times New Roman" w:eastAsia="Times New Roman" w:hAnsi="Times New Roman" w:cs="Times New Roman"/>
          <w:i/>
          <w:sz w:val="24"/>
          <w:szCs w:val="24"/>
        </w:rPr>
        <w:t>globulifera</w:t>
      </w:r>
      <w:proofErr w:type="spellEnd"/>
      <w:r w:rsidRPr="00F95BC7">
        <w:rPr>
          <w:rFonts w:ascii="Times New Roman" w:eastAsia="Times New Roman" w:hAnsi="Times New Roman" w:cs="Times New Roman"/>
          <w:sz w:val="24"/>
          <w:szCs w:val="24"/>
        </w:rPr>
        <w:t>), árvore que deu nome à cidade, bem como animais de pequeno porte: cutia (</w:t>
      </w:r>
      <w:proofErr w:type="spellStart"/>
      <w:r w:rsidRPr="00F95BC7">
        <w:rPr>
          <w:rFonts w:ascii="Times New Roman" w:eastAsia="Times New Roman" w:hAnsi="Times New Roman" w:cs="Times New Roman"/>
          <w:i/>
          <w:sz w:val="24"/>
          <w:szCs w:val="24"/>
        </w:rPr>
        <w:t>Dasyprocta</w:t>
      </w:r>
      <w:proofErr w:type="spellEnd"/>
      <w:r w:rsidRPr="00F95BC7">
        <w:rPr>
          <w:rFonts w:ascii="Times New Roman" w:eastAsia="Times New Roman" w:hAnsi="Times New Roman" w:cs="Times New Roman"/>
          <w:i/>
          <w:sz w:val="24"/>
          <w:szCs w:val="24"/>
        </w:rPr>
        <w:t xml:space="preserve"> aguti</w:t>
      </w:r>
      <w:r w:rsidRPr="00F95BC7">
        <w:rPr>
          <w:rFonts w:ascii="Times New Roman" w:eastAsia="Times New Roman" w:hAnsi="Times New Roman" w:cs="Times New Roman"/>
          <w:sz w:val="24"/>
          <w:szCs w:val="24"/>
        </w:rPr>
        <w:t>), tatu-bola (</w:t>
      </w:r>
      <w:proofErr w:type="spellStart"/>
      <w:r w:rsidRPr="00F95BC7">
        <w:rPr>
          <w:rFonts w:ascii="Times New Roman" w:eastAsia="Times New Roman" w:hAnsi="Times New Roman" w:cs="Times New Roman"/>
          <w:i/>
          <w:sz w:val="24"/>
          <w:szCs w:val="24"/>
        </w:rPr>
        <w:t>Tolypentis</w:t>
      </w:r>
      <w:proofErr w:type="spellEnd"/>
      <w:r w:rsidRPr="00F95BC7">
        <w:rPr>
          <w:rFonts w:ascii="Times New Roman" w:eastAsia="Times New Roman" w:hAnsi="Times New Roman" w:cs="Times New Roman"/>
          <w:i/>
          <w:sz w:val="24"/>
          <w:szCs w:val="24"/>
        </w:rPr>
        <w:t xml:space="preserve"> </w:t>
      </w:r>
      <w:proofErr w:type="spellStart"/>
      <w:r w:rsidRPr="00F95BC7">
        <w:rPr>
          <w:rFonts w:ascii="Times New Roman" w:eastAsia="Times New Roman" w:hAnsi="Times New Roman" w:cs="Times New Roman"/>
          <w:i/>
          <w:sz w:val="24"/>
          <w:szCs w:val="24"/>
        </w:rPr>
        <w:t>tricinctus</w:t>
      </w:r>
      <w:proofErr w:type="spellEnd"/>
      <w:r w:rsidRPr="00F95BC7">
        <w:rPr>
          <w:rFonts w:ascii="Times New Roman" w:eastAsia="Times New Roman" w:hAnsi="Times New Roman" w:cs="Times New Roman"/>
          <w:sz w:val="24"/>
          <w:szCs w:val="24"/>
        </w:rPr>
        <w:t>), jabuti (</w:t>
      </w:r>
      <w:proofErr w:type="spellStart"/>
      <w:r w:rsidRPr="00F95BC7">
        <w:rPr>
          <w:rFonts w:ascii="Times New Roman" w:eastAsia="Times New Roman" w:hAnsi="Times New Roman" w:cs="Times New Roman"/>
          <w:i/>
          <w:sz w:val="24"/>
          <w:szCs w:val="24"/>
        </w:rPr>
        <w:t>Geochelonia</w:t>
      </w:r>
      <w:proofErr w:type="spellEnd"/>
      <w:r w:rsidRPr="00F95BC7">
        <w:rPr>
          <w:rFonts w:ascii="Times New Roman" w:eastAsia="Times New Roman" w:hAnsi="Times New Roman" w:cs="Times New Roman"/>
          <w:i/>
          <w:sz w:val="24"/>
          <w:szCs w:val="24"/>
        </w:rPr>
        <w:t xml:space="preserve"> </w:t>
      </w:r>
      <w:proofErr w:type="spellStart"/>
      <w:r w:rsidRPr="00F95BC7">
        <w:rPr>
          <w:rFonts w:ascii="Times New Roman" w:eastAsia="Times New Roman" w:hAnsi="Times New Roman" w:cs="Times New Roman"/>
          <w:i/>
          <w:sz w:val="24"/>
          <w:szCs w:val="24"/>
        </w:rPr>
        <w:t>carbonaria</w:t>
      </w:r>
      <w:proofErr w:type="spellEnd"/>
      <w:r w:rsidRPr="00F95BC7">
        <w:rPr>
          <w:rFonts w:ascii="Times New Roman" w:eastAsia="Times New Roman" w:hAnsi="Times New Roman" w:cs="Times New Roman"/>
          <w:sz w:val="24"/>
          <w:szCs w:val="24"/>
        </w:rPr>
        <w:t>) e um jacaré tinga (</w:t>
      </w:r>
      <w:proofErr w:type="spellStart"/>
      <w:r w:rsidRPr="00F95BC7">
        <w:rPr>
          <w:rFonts w:ascii="Times New Roman" w:eastAsia="Times New Roman" w:hAnsi="Times New Roman" w:cs="Times New Roman"/>
          <w:i/>
          <w:sz w:val="24"/>
          <w:szCs w:val="24"/>
        </w:rPr>
        <w:t>Caiman</w:t>
      </w:r>
      <w:proofErr w:type="spellEnd"/>
      <w:r w:rsidRPr="00F95BC7">
        <w:rPr>
          <w:rFonts w:ascii="Times New Roman" w:eastAsia="Times New Roman" w:hAnsi="Times New Roman" w:cs="Times New Roman"/>
          <w:i/>
          <w:sz w:val="24"/>
          <w:szCs w:val="24"/>
        </w:rPr>
        <w:t xml:space="preserve"> </w:t>
      </w:r>
      <w:proofErr w:type="spellStart"/>
      <w:r w:rsidRPr="00F95BC7">
        <w:rPr>
          <w:rFonts w:ascii="Times New Roman" w:eastAsia="Times New Roman" w:hAnsi="Times New Roman" w:cs="Times New Roman"/>
          <w:i/>
          <w:sz w:val="24"/>
          <w:szCs w:val="24"/>
        </w:rPr>
        <w:t>crocodilus</w:t>
      </w:r>
      <w:proofErr w:type="spellEnd"/>
      <w:r w:rsidRPr="00F95BC7">
        <w:rPr>
          <w:rFonts w:ascii="Times New Roman" w:eastAsia="Times New Roman" w:hAnsi="Times New Roman" w:cs="Times New Roman"/>
          <w:sz w:val="24"/>
          <w:szCs w:val="24"/>
        </w:rPr>
        <w:t xml:space="preserve">). Estas duas últimas espécies vivem num pequeno lago de água barrenta, dentro da UC. Este lago era um igarapé que desaguava no lago Bolonha. </w:t>
      </w:r>
    </w:p>
    <w:p w14:paraId="4EC62F93" w14:textId="513009EC"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hAnsi="Times New Roman" w:cs="Times New Roman"/>
          <w:sz w:val="24"/>
          <w:szCs w:val="24"/>
          <w:lang w:eastAsia="zh-CN"/>
        </w:rPr>
        <w:t xml:space="preserve">O ex-diretor geral da Secretaria de Meio Ambiente de Ananindeua </w:t>
      </w:r>
      <w:r w:rsidR="00A60268" w:rsidRPr="00F95BC7">
        <w:rPr>
          <w:rFonts w:ascii="Times New Roman" w:hAnsi="Times New Roman" w:cs="Times New Roman"/>
          <w:sz w:val="24"/>
          <w:szCs w:val="24"/>
          <w:lang w:eastAsia="zh-CN"/>
        </w:rPr>
        <w:t>(BASTOS, 2019)</w:t>
      </w:r>
      <w:r w:rsidR="000463CE" w:rsidRPr="00F95BC7">
        <w:rPr>
          <w:rFonts w:ascii="Times New Roman" w:hAnsi="Times New Roman" w:cs="Times New Roman"/>
          <w:sz w:val="24"/>
          <w:szCs w:val="24"/>
          <w:lang w:eastAsia="zh-CN"/>
        </w:rPr>
        <w:t xml:space="preserve"> </w:t>
      </w:r>
      <w:r w:rsidRPr="00F95BC7">
        <w:rPr>
          <w:rFonts w:ascii="Times New Roman" w:hAnsi="Times New Roman" w:cs="Times New Roman"/>
          <w:sz w:val="24"/>
          <w:szCs w:val="24"/>
          <w:lang w:eastAsia="zh-CN"/>
        </w:rPr>
        <w:t>relata que:</w:t>
      </w:r>
    </w:p>
    <w:p w14:paraId="241BED93" w14:textId="666AADD2" w:rsidR="003137C0" w:rsidRPr="00F95BC7" w:rsidRDefault="00F95BC7" w:rsidP="003F1370">
      <w:pPr>
        <w:spacing w:after="0" w:line="240" w:lineRule="auto"/>
        <w:ind w:left="2552"/>
        <w:jc w:val="both"/>
        <w:rPr>
          <w:rFonts w:ascii="Times New Roman" w:hAnsi="Times New Roman" w:cs="Times New Roman"/>
          <w:sz w:val="20"/>
          <w:szCs w:val="20"/>
        </w:rPr>
      </w:pPr>
      <w:r w:rsidRPr="00F95BC7">
        <w:rPr>
          <w:rFonts w:ascii="Times New Roman" w:hAnsi="Times New Roman" w:cs="Times New Roman"/>
          <w:sz w:val="20"/>
          <w:szCs w:val="20"/>
        </w:rPr>
        <w:t>A</w:t>
      </w:r>
      <w:r w:rsidR="004F6FC7" w:rsidRPr="00F95BC7">
        <w:rPr>
          <w:rFonts w:ascii="Times New Roman" w:hAnsi="Times New Roman" w:cs="Times New Roman"/>
          <w:sz w:val="20"/>
          <w:szCs w:val="20"/>
        </w:rPr>
        <w:t xml:space="preserve"> área do Danúbio tem dois diferenciais. O primeiro é que ali existiam exemplares do Anani, que é a terra de Anani, Ananindeua [...], nós não tínhamos mais espécies de Anani em Ananindeua. A população da grande Ananindeua não tinha conhecimento da espécie que deu origem ao nome do município e ali tinha uns exemplares do Anani originais naquele espaço, só se encontra nas ilhas, mas não mais no centro urbano. E o outro motivo é que ali tem um olho d’agua do Utinga, um dos poucos em área públicas, aliás acho que é o único em área pública hoje do outro lado da BR, ou seja, houve o interesse em preservar o olho d’agua do Utinga, do Bolonha e Água Preta. Então, os demais, parece que tem outros dois pontos deste lado da BR, mas são em áreas privadas, nestes sítios particulares que hoje devem ter virado condomínio, eu não acompanhei mais.</w:t>
      </w:r>
    </w:p>
    <w:p w14:paraId="5E75EBB4" w14:textId="717E3C22" w:rsidR="003137C0" w:rsidRPr="00F95BC7" w:rsidRDefault="000463CE">
      <w:pPr>
        <w:spacing w:after="0" w:line="360" w:lineRule="auto"/>
        <w:ind w:firstLine="708"/>
        <w:jc w:val="both"/>
        <w:rPr>
          <w:rFonts w:ascii="Times New Roman" w:eastAsia="Times New Roman" w:hAnsi="Times New Roman" w:cs="Times New Roman"/>
          <w:sz w:val="24"/>
          <w:szCs w:val="24"/>
        </w:rPr>
      </w:pPr>
      <w:bookmarkStart w:id="3" w:name="_heading=h.1fob9te" w:colFirst="0" w:colLast="0"/>
      <w:bookmarkEnd w:id="3"/>
      <w:r w:rsidRPr="00F95BC7">
        <w:rPr>
          <w:rFonts w:ascii="Times New Roman" w:eastAsia="Times New Roman" w:hAnsi="Times New Roman" w:cs="Times New Roman"/>
          <w:sz w:val="24"/>
          <w:szCs w:val="24"/>
        </w:rPr>
        <w:t>Ainda s</w:t>
      </w:r>
      <w:r w:rsidR="004F6FC7" w:rsidRPr="00F95BC7">
        <w:rPr>
          <w:rFonts w:ascii="Times New Roman" w:eastAsia="Times New Roman" w:hAnsi="Times New Roman" w:cs="Times New Roman"/>
          <w:sz w:val="24"/>
          <w:szCs w:val="24"/>
        </w:rPr>
        <w:t xml:space="preserve">egundo Santos (2019), a trajetória do igarapé é perceptível nas trilhas propostas pelo parque, pois as características naturais de terra molhada ainda são visíveis. Dois fatores são responsáveis pelos danos ao antigo igarapé, agora lago. Ainda segundo a autora, a nascente está localizada acima do parque, em clube privado, que represou a água para uso interno e ocorreu o fechamento do duto na Rodovia BR 316, que escoava a água do igarapé para o lago Bolonha, segundo relatos do gestor do parque e do comandante da Guarda de Policiamento Ambiental de Ananindeua. </w:t>
      </w:r>
    </w:p>
    <w:p w14:paraId="6CE04748"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No Parque Ambiental Antônio Danúbio, mesmo com espaço territorial pequeno, foi possível observar densa cobertura vegetal, animais silvestres de pequeno porte e práticas de replantio. Além disso, possui legislação para criação do conselho consultivo da UC, porém na pesquisa de Santos (2019) não foi identificada composição e/ou a realização de atividades do conselho.</w:t>
      </w:r>
    </w:p>
    <w:p w14:paraId="731B8EC3" w14:textId="77777777" w:rsidR="003137C0" w:rsidRPr="00F95BC7" w:rsidRDefault="004F6FC7">
      <w:pPr>
        <w:pStyle w:val="Ttulo1"/>
        <w:spacing w:before="0" w:line="360" w:lineRule="auto"/>
        <w:ind w:firstLine="708"/>
        <w:rPr>
          <w:rFonts w:ascii="Times New Roman" w:eastAsia="Times New Roman" w:hAnsi="Times New Roman" w:cs="Times New Roman"/>
          <w:b/>
          <w:color w:val="auto"/>
          <w:sz w:val="24"/>
          <w:szCs w:val="24"/>
        </w:rPr>
      </w:pPr>
      <w:bookmarkStart w:id="4" w:name="_heading=h.3znysh7" w:colFirst="0" w:colLast="0"/>
      <w:bookmarkEnd w:id="4"/>
      <w:r w:rsidRPr="00F95BC7">
        <w:rPr>
          <w:rFonts w:ascii="Times New Roman" w:eastAsia="Times New Roman" w:hAnsi="Times New Roman" w:cs="Times New Roman"/>
          <w:b/>
          <w:color w:val="auto"/>
          <w:sz w:val="24"/>
          <w:szCs w:val="24"/>
        </w:rPr>
        <w:t>Museu Parque do Seringal</w:t>
      </w:r>
    </w:p>
    <w:p w14:paraId="0340C78E"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É Área de Relevante Interesse Ecológico (ARIE) localizada no município de Ananindeua, no bairro Cidade Nova VIII, entre as vias WE 34 e 36, com extensão total de 1.348 hectares e perímetro de 513 metros. Foi o primeiro museu e o segundo parque ambiental do município. Além do cadastro no SNUC, o espaço também é cadastrado no Instituto Brasileiro de Museus - IBRAM. </w:t>
      </w:r>
    </w:p>
    <w:p w14:paraId="673437AC" w14:textId="7E84C272"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Criado por meio da Lei Municipal nº 2.560, em 29/03/2012, com o intuito de recuperar um espaço abandonado e valorizar os ciclos da borracha ocorridos no Pará, entre os anos de 1879 e 1912 e entre 1942 e 1945. Diferente das demais UC do município, apresenta características que vão além da preservação ambiental e da educação ambiental, pois inclui a atenção à cultura local e ao histórico do município com o ciclo da borracha (CAMPOS; OLIVEIRA; MONTE, 2017). Portanto, a UC </w:t>
      </w:r>
      <w:r w:rsidRPr="00F95BC7">
        <w:rPr>
          <w:rFonts w:ascii="Times New Roman" w:eastAsia="Times New Roman" w:hAnsi="Times New Roman" w:cs="Times New Roman"/>
          <w:sz w:val="24"/>
          <w:szCs w:val="24"/>
        </w:rPr>
        <w:lastRenderedPageBreak/>
        <w:t>dispõe de estrutura para o cuidado com o patrimônio material e imaterial das sering</w:t>
      </w:r>
      <w:r w:rsidR="00E87D63" w:rsidRPr="00F95BC7">
        <w:rPr>
          <w:rFonts w:ascii="Times New Roman" w:eastAsia="Times New Roman" w:hAnsi="Times New Roman" w:cs="Times New Roman"/>
          <w:sz w:val="24"/>
          <w:szCs w:val="24"/>
        </w:rPr>
        <w:t>ueiras</w:t>
      </w:r>
      <w:r w:rsidRPr="00F95BC7">
        <w:rPr>
          <w:rFonts w:ascii="Times New Roman" w:eastAsia="Times New Roman" w:hAnsi="Times New Roman" w:cs="Times New Roman"/>
          <w:sz w:val="24"/>
          <w:szCs w:val="24"/>
        </w:rPr>
        <w:t xml:space="preserve"> de Ananindeua.</w:t>
      </w:r>
    </w:p>
    <w:p w14:paraId="53A33488" w14:textId="77777777" w:rsidR="00317DA4" w:rsidRPr="00F95BC7" w:rsidRDefault="00317DA4" w:rsidP="00317DA4">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 Museu Parque possui estrutura física com Memorial do Seringueiro, trilhas que contam a história dos tempos da produção de borracha na região amazônica, anfiteatro para programações culturais, restaurante, playground, academia de ginástica ao ar livre, instalações administrativas, posto da guarda municipal e restaurante (NISHIMURA et al., 2017). Segundo Campos Oliveira e Monte (2017) e Santos (2019), a estrutura do Museu Parque está desgastada, apresentando aspectos de deterioração provocados pela falta de manutenção e pelo comportamento de alguns frequentadores.</w:t>
      </w:r>
    </w:p>
    <w:p w14:paraId="5948BE51" w14:textId="77777777" w:rsidR="003137C0" w:rsidRPr="00F95BC7" w:rsidRDefault="004F6FC7">
      <w:pPr>
        <w:spacing w:after="0" w:line="360" w:lineRule="auto"/>
        <w:ind w:firstLine="708"/>
        <w:rPr>
          <w:rFonts w:ascii="Times New Roman" w:eastAsia="Times New Roman" w:hAnsi="Times New Roman" w:cs="Times New Roman"/>
          <w:sz w:val="24"/>
          <w:szCs w:val="24"/>
        </w:rPr>
      </w:pPr>
      <w:bookmarkStart w:id="5" w:name="_heading=h.2et92p0" w:colFirst="0" w:colLast="0"/>
      <w:bookmarkEnd w:id="5"/>
      <w:r w:rsidRPr="00F95BC7">
        <w:rPr>
          <w:rFonts w:ascii="Times New Roman" w:eastAsia="Times New Roman" w:hAnsi="Times New Roman" w:cs="Times New Roman"/>
          <w:b/>
          <w:sz w:val="24"/>
          <w:szCs w:val="24"/>
        </w:rPr>
        <w:t xml:space="preserve">Figura 3 – </w:t>
      </w:r>
      <w:r w:rsidRPr="00F95BC7">
        <w:rPr>
          <w:rFonts w:ascii="Times New Roman" w:eastAsia="Times New Roman" w:hAnsi="Times New Roman" w:cs="Times New Roman"/>
          <w:sz w:val="24"/>
          <w:szCs w:val="24"/>
        </w:rPr>
        <w:t>Mapa da unidade de conservação Museu Parque do Seringal</w:t>
      </w:r>
    </w:p>
    <w:p w14:paraId="56BA0B6E" w14:textId="77777777" w:rsidR="003137C0" w:rsidRPr="00F95BC7" w:rsidRDefault="004F6FC7">
      <w:pPr>
        <w:spacing w:after="0" w:line="240" w:lineRule="auto"/>
        <w:ind w:firstLine="709"/>
        <w:rPr>
          <w:rFonts w:ascii="Times New Roman" w:eastAsia="Times New Roman" w:hAnsi="Times New Roman" w:cs="Times New Roman"/>
          <w:sz w:val="24"/>
          <w:szCs w:val="24"/>
        </w:rPr>
      </w:pPr>
      <w:r w:rsidRPr="00F95BC7">
        <w:rPr>
          <w:rFonts w:ascii="Times New Roman" w:eastAsia="Times New Roman" w:hAnsi="Times New Roman" w:cs="Times New Roman"/>
          <w:noProof/>
          <w:sz w:val="24"/>
          <w:szCs w:val="24"/>
        </w:rPr>
        <w:drawing>
          <wp:inline distT="0" distB="0" distL="0" distR="0" wp14:anchorId="2E8B9CD8" wp14:editId="0C7B87DF">
            <wp:extent cx="5000540" cy="4691269"/>
            <wp:effectExtent l="0" t="0" r="0" b="0"/>
            <wp:docPr id="19" name="image4.jpg" descr="Uma imagem contendo Interface gráfica do usuário&#10;&#10;Descrição gerada automaticamente"/>
            <wp:cNvGraphicFramePr/>
            <a:graphic xmlns:a="http://schemas.openxmlformats.org/drawingml/2006/main">
              <a:graphicData uri="http://schemas.openxmlformats.org/drawingml/2006/picture">
                <pic:pic xmlns:pic="http://schemas.openxmlformats.org/drawingml/2006/picture">
                  <pic:nvPicPr>
                    <pic:cNvPr id="19" name="image4.jpg" descr="Uma imagem contendo Interface gráfica do usuário&#10;&#10;Descrição gerada automaticamente"/>
                    <pic:cNvPicPr preferRelativeResize="0"/>
                  </pic:nvPicPr>
                  <pic:blipFill>
                    <a:blip r:embed="rId13">
                      <a:grayscl/>
                    </a:blip>
                    <a:srcRect/>
                    <a:stretch>
                      <a:fillRect/>
                    </a:stretch>
                  </pic:blipFill>
                  <pic:spPr>
                    <a:xfrm>
                      <a:off x="0" y="0"/>
                      <a:ext cx="5017487" cy="4707168"/>
                    </a:xfrm>
                    <a:prstGeom prst="rect">
                      <a:avLst/>
                    </a:prstGeom>
                  </pic:spPr>
                </pic:pic>
              </a:graphicData>
            </a:graphic>
          </wp:inline>
        </w:drawing>
      </w:r>
    </w:p>
    <w:p w14:paraId="3A556B47" w14:textId="77777777"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0"/>
          <w:szCs w:val="20"/>
        </w:rPr>
        <w:t>Fonte: SANTOS; SIMONIAN; FERNANDES, 2019.</w:t>
      </w:r>
    </w:p>
    <w:p w14:paraId="22E69208" w14:textId="37064BA4"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 UC possui fluxo de pessoas maior que o Antônio Danúbio, devido à localização em área urbana de grande concentração populacional, facilitando o acesso dos moradores de Ananindeua. Serve de passagem entre duas ruas, a WE 34 e </w:t>
      </w:r>
      <w:r w:rsidR="00E87D63" w:rsidRPr="00F95BC7">
        <w:rPr>
          <w:rFonts w:ascii="Times New Roman" w:eastAsia="Times New Roman" w:hAnsi="Times New Roman" w:cs="Times New Roman"/>
          <w:sz w:val="24"/>
          <w:szCs w:val="24"/>
        </w:rPr>
        <w:t xml:space="preserve">WE </w:t>
      </w:r>
      <w:r w:rsidRPr="00F95BC7">
        <w:rPr>
          <w:rFonts w:ascii="Times New Roman" w:eastAsia="Times New Roman" w:hAnsi="Times New Roman" w:cs="Times New Roman"/>
          <w:sz w:val="24"/>
          <w:szCs w:val="24"/>
        </w:rPr>
        <w:t xml:space="preserve">36; está próxima de escolas, faculdade, lojas e restaurantes. Segundo o diretor geral da SEMA-Ananindeua que atuava na época da inauguração, a área </w:t>
      </w:r>
      <w:r w:rsidR="00CB7018" w:rsidRPr="00F95BC7">
        <w:rPr>
          <w:rFonts w:ascii="Times New Roman" w:eastAsia="Times New Roman" w:hAnsi="Times New Roman" w:cs="Times New Roman"/>
          <w:sz w:val="24"/>
          <w:szCs w:val="24"/>
        </w:rPr>
        <w:t>era utilizada para</w:t>
      </w:r>
      <w:r w:rsidRPr="00F95BC7">
        <w:rPr>
          <w:rFonts w:ascii="Times New Roman" w:eastAsia="Times New Roman" w:hAnsi="Times New Roman" w:cs="Times New Roman"/>
          <w:sz w:val="24"/>
          <w:szCs w:val="24"/>
        </w:rPr>
        <w:t xml:space="preserve"> descarte de lixo:</w:t>
      </w:r>
    </w:p>
    <w:p w14:paraId="027D0883" w14:textId="0674283E" w:rsidR="003137C0" w:rsidRPr="00F95BC7" w:rsidRDefault="004F6FC7">
      <w:pPr>
        <w:spacing w:after="0" w:line="360" w:lineRule="auto"/>
        <w:ind w:left="2552" w:firstLine="709"/>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lastRenderedPageBreak/>
        <w:t>[O espaço] não era murado, era um mato crescente, uma área escura e era utilizada para jogar lixo. Inclusive, o lixo, as fotos iniciais nós tínhamos, o lixo ficava maior que o muro que fica atrás da colmeia de teatro. Ali onde é a colmeia de teatro hoje, que tinha um monte de lixo que ultrapassava o muro. E drogas, relato de drogas etc. Por isso que eu te digo, como a gente conseguiu mudar daquele lugar, com iluminação e o manejo do espaço</w:t>
      </w:r>
      <w:r w:rsidR="003C6A1A" w:rsidRPr="00F95BC7">
        <w:rPr>
          <w:rFonts w:ascii="Times New Roman" w:eastAsia="Times New Roman" w:hAnsi="Times New Roman" w:cs="Times New Roman"/>
          <w:sz w:val="20"/>
          <w:szCs w:val="20"/>
        </w:rPr>
        <w:t xml:space="preserve"> (</w:t>
      </w:r>
      <w:r w:rsidR="00F95BC7" w:rsidRPr="00F95BC7">
        <w:rPr>
          <w:rFonts w:ascii="Times New Roman" w:eastAsia="Times New Roman" w:hAnsi="Times New Roman" w:cs="Times New Roman"/>
          <w:sz w:val="20"/>
          <w:szCs w:val="20"/>
        </w:rPr>
        <w:t>BASTOS</w:t>
      </w:r>
      <w:r w:rsidR="003C6A1A" w:rsidRPr="00F95BC7">
        <w:rPr>
          <w:rFonts w:ascii="Times New Roman" w:eastAsia="Times New Roman" w:hAnsi="Times New Roman" w:cs="Times New Roman"/>
          <w:sz w:val="20"/>
          <w:szCs w:val="20"/>
        </w:rPr>
        <w:t xml:space="preserve">, </w:t>
      </w:r>
      <w:r w:rsidR="003F1370" w:rsidRPr="00F95BC7">
        <w:rPr>
          <w:rFonts w:ascii="Times New Roman" w:eastAsia="Times New Roman" w:hAnsi="Times New Roman" w:cs="Times New Roman"/>
          <w:sz w:val="20"/>
          <w:szCs w:val="20"/>
        </w:rPr>
        <w:t>2019</w:t>
      </w:r>
      <w:r w:rsidR="003C6A1A" w:rsidRPr="00F95BC7">
        <w:rPr>
          <w:rFonts w:ascii="Times New Roman" w:eastAsia="Times New Roman" w:hAnsi="Times New Roman" w:cs="Times New Roman"/>
          <w:sz w:val="20"/>
          <w:szCs w:val="20"/>
        </w:rPr>
        <w:t>)</w:t>
      </w:r>
      <w:r w:rsidRPr="00F95BC7">
        <w:rPr>
          <w:rFonts w:ascii="Times New Roman" w:eastAsia="Times New Roman" w:hAnsi="Times New Roman" w:cs="Times New Roman"/>
          <w:sz w:val="20"/>
          <w:szCs w:val="20"/>
        </w:rPr>
        <w:t>.</w:t>
      </w:r>
    </w:p>
    <w:p w14:paraId="57E5D768" w14:textId="5897A196" w:rsidR="00317DA4" w:rsidRPr="00F95BC7" w:rsidRDefault="004F6FC7" w:rsidP="00577244">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Com relação ao conselho consultivo, de acordo com Santos (2019), semelhante ao Parque Antônio Danúbio, o Museu do Seringal possui legislação para sua criação, mas não foi identificada a composição e/ou a realização de atividades do referido conselho.</w:t>
      </w:r>
    </w:p>
    <w:p w14:paraId="4C1EEB8E" w14:textId="2B4E6921" w:rsidR="00552971" w:rsidRPr="00F95BC7" w:rsidRDefault="00552971" w:rsidP="00426A3B">
      <w:pPr>
        <w:pStyle w:val="PargrafodaLista"/>
        <w:numPr>
          <w:ilvl w:val="0"/>
          <w:numId w:val="1"/>
        </w:numPr>
        <w:spacing w:after="0" w:line="360" w:lineRule="auto"/>
        <w:jc w:val="both"/>
        <w:outlineLvl w:val="0"/>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GOVERNANÇA MUNICIPAL A PARTIR DE UNIDADES DE CONSERVAÇÃO</w:t>
      </w:r>
    </w:p>
    <w:p w14:paraId="60388A30" w14:textId="182E58AD" w:rsidR="00372577" w:rsidRPr="00F95BC7" w:rsidRDefault="00552971" w:rsidP="00552971">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w:t>
      </w:r>
      <w:r w:rsidR="002571E7" w:rsidRPr="00F95BC7">
        <w:rPr>
          <w:rFonts w:ascii="Times New Roman" w:eastAsia="Times New Roman" w:hAnsi="Times New Roman" w:cs="Times New Roman"/>
          <w:sz w:val="24"/>
          <w:szCs w:val="24"/>
        </w:rPr>
        <w:t>s</w:t>
      </w:r>
      <w:r w:rsidR="00D47AAA" w:rsidRPr="00F95BC7">
        <w:rPr>
          <w:rFonts w:ascii="Times New Roman" w:eastAsia="Times New Roman" w:hAnsi="Times New Roman" w:cs="Times New Roman"/>
          <w:sz w:val="24"/>
          <w:szCs w:val="24"/>
        </w:rPr>
        <w:t xml:space="preserve"> conselhos gestores das Unidades de Conservação </w:t>
      </w:r>
      <w:r w:rsidRPr="00F95BC7">
        <w:rPr>
          <w:rFonts w:ascii="Times New Roman" w:eastAsia="Times New Roman" w:hAnsi="Times New Roman" w:cs="Times New Roman"/>
          <w:sz w:val="24"/>
          <w:szCs w:val="24"/>
        </w:rPr>
        <w:t>pode</w:t>
      </w:r>
      <w:r w:rsidR="0033307B" w:rsidRPr="00F95BC7">
        <w:rPr>
          <w:rFonts w:ascii="Times New Roman" w:eastAsia="Times New Roman" w:hAnsi="Times New Roman" w:cs="Times New Roman"/>
          <w:sz w:val="24"/>
          <w:szCs w:val="24"/>
        </w:rPr>
        <w:t>m</w:t>
      </w:r>
      <w:r w:rsidRPr="00F95BC7">
        <w:rPr>
          <w:rFonts w:ascii="Times New Roman" w:eastAsia="Times New Roman" w:hAnsi="Times New Roman" w:cs="Times New Roman"/>
          <w:sz w:val="24"/>
          <w:szCs w:val="24"/>
        </w:rPr>
        <w:t xml:space="preserve"> ser catalizador</w:t>
      </w:r>
      <w:r w:rsidR="002571E7" w:rsidRPr="00F95BC7">
        <w:rPr>
          <w:rFonts w:ascii="Times New Roman" w:eastAsia="Times New Roman" w:hAnsi="Times New Roman" w:cs="Times New Roman"/>
          <w:sz w:val="24"/>
          <w:szCs w:val="24"/>
        </w:rPr>
        <w:t>es</w:t>
      </w:r>
      <w:r w:rsidRPr="00F95BC7">
        <w:rPr>
          <w:rFonts w:ascii="Times New Roman" w:eastAsia="Times New Roman" w:hAnsi="Times New Roman" w:cs="Times New Roman"/>
          <w:sz w:val="24"/>
          <w:szCs w:val="24"/>
        </w:rPr>
        <w:t xml:space="preserve"> </w:t>
      </w:r>
      <w:r w:rsidR="00903568" w:rsidRPr="00F95BC7">
        <w:rPr>
          <w:rFonts w:ascii="Times New Roman" w:eastAsia="Times New Roman" w:hAnsi="Times New Roman" w:cs="Times New Roman"/>
          <w:sz w:val="24"/>
          <w:szCs w:val="24"/>
        </w:rPr>
        <w:t>d</w:t>
      </w:r>
      <w:r w:rsidRPr="00F95BC7">
        <w:rPr>
          <w:rFonts w:ascii="Times New Roman" w:eastAsia="Times New Roman" w:hAnsi="Times New Roman" w:cs="Times New Roman"/>
          <w:sz w:val="24"/>
          <w:szCs w:val="24"/>
        </w:rPr>
        <w:t xml:space="preserve">as ações </w:t>
      </w:r>
      <w:r w:rsidR="00D47AAA" w:rsidRPr="00F95BC7">
        <w:rPr>
          <w:rFonts w:ascii="Times New Roman" w:eastAsia="Times New Roman" w:hAnsi="Times New Roman" w:cs="Times New Roman"/>
          <w:sz w:val="24"/>
          <w:szCs w:val="24"/>
        </w:rPr>
        <w:t>sustentáveis,</w:t>
      </w:r>
      <w:r w:rsidRPr="00F95BC7">
        <w:rPr>
          <w:rFonts w:ascii="Times New Roman" w:eastAsia="Times New Roman" w:hAnsi="Times New Roman" w:cs="Times New Roman"/>
          <w:sz w:val="24"/>
          <w:szCs w:val="24"/>
        </w:rPr>
        <w:t xml:space="preserve"> visando alcançar a governança </w:t>
      </w:r>
      <w:r w:rsidR="0033307B" w:rsidRPr="00F95BC7">
        <w:rPr>
          <w:rFonts w:ascii="Times New Roman" w:eastAsia="Times New Roman" w:hAnsi="Times New Roman" w:cs="Times New Roman"/>
          <w:sz w:val="24"/>
          <w:szCs w:val="24"/>
        </w:rPr>
        <w:t>a</w:t>
      </w:r>
      <w:r w:rsidRPr="00F95BC7">
        <w:rPr>
          <w:rFonts w:ascii="Times New Roman" w:eastAsia="Times New Roman" w:hAnsi="Times New Roman" w:cs="Times New Roman"/>
          <w:sz w:val="24"/>
          <w:szCs w:val="24"/>
        </w:rPr>
        <w:t xml:space="preserve"> partir de uma perspectiva municipal</w:t>
      </w:r>
      <w:r w:rsidR="00372577" w:rsidRPr="00F95BC7">
        <w:rPr>
          <w:rFonts w:ascii="Times New Roman" w:eastAsia="Times New Roman" w:hAnsi="Times New Roman" w:cs="Times New Roman"/>
          <w:sz w:val="24"/>
          <w:szCs w:val="24"/>
        </w:rPr>
        <w:t>, i</w:t>
      </w:r>
      <w:r w:rsidRPr="00F95BC7">
        <w:rPr>
          <w:rFonts w:ascii="Times New Roman" w:eastAsia="Times New Roman" w:hAnsi="Times New Roman" w:cs="Times New Roman"/>
          <w:sz w:val="24"/>
          <w:szCs w:val="24"/>
        </w:rPr>
        <w:t>sso porque tanto o município quanto as</w:t>
      </w:r>
      <w:r w:rsidR="00D47AAA" w:rsidRPr="00F95BC7">
        <w:rPr>
          <w:rFonts w:ascii="Times New Roman" w:eastAsia="Times New Roman" w:hAnsi="Times New Roman" w:cs="Times New Roman"/>
          <w:sz w:val="24"/>
          <w:szCs w:val="24"/>
        </w:rPr>
        <w:t xml:space="preserve"> Unidades de Conservação</w:t>
      </w:r>
      <w:r w:rsidRPr="00F95BC7">
        <w:rPr>
          <w:rFonts w:ascii="Times New Roman" w:eastAsia="Times New Roman" w:hAnsi="Times New Roman" w:cs="Times New Roman"/>
          <w:sz w:val="24"/>
          <w:szCs w:val="24"/>
        </w:rPr>
        <w:t xml:space="preserve"> </w:t>
      </w:r>
      <w:r w:rsidR="00D47AAA"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UC</w:t>
      </w:r>
      <w:r w:rsidR="00D47AAA"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estão próximas </w:t>
      </w:r>
      <w:r w:rsidR="00372577" w:rsidRPr="00F95BC7">
        <w:rPr>
          <w:rFonts w:ascii="Times New Roman" w:eastAsia="Times New Roman" w:hAnsi="Times New Roman" w:cs="Times New Roman"/>
          <w:sz w:val="24"/>
          <w:szCs w:val="24"/>
        </w:rPr>
        <w:t>fisicamente</w:t>
      </w:r>
      <w:r w:rsidRPr="00F95BC7">
        <w:rPr>
          <w:rFonts w:ascii="Times New Roman" w:eastAsia="Times New Roman" w:hAnsi="Times New Roman" w:cs="Times New Roman"/>
          <w:sz w:val="24"/>
          <w:szCs w:val="24"/>
        </w:rPr>
        <w:t xml:space="preserve"> </w:t>
      </w:r>
      <w:r w:rsidR="00D47AAA" w:rsidRPr="00F95BC7">
        <w:rPr>
          <w:rFonts w:ascii="Times New Roman" w:eastAsia="Times New Roman" w:hAnsi="Times New Roman" w:cs="Times New Roman"/>
          <w:sz w:val="24"/>
          <w:szCs w:val="24"/>
        </w:rPr>
        <w:t>d</w:t>
      </w:r>
      <w:r w:rsidRPr="00F95BC7">
        <w:rPr>
          <w:rFonts w:ascii="Times New Roman" w:eastAsia="Times New Roman" w:hAnsi="Times New Roman" w:cs="Times New Roman"/>
          <w:sz w:val="24"/>
          <w:szCs w:val="24"/>
        </w:rPr>
        <w:t>os atores</w:t>
      </w:r>
      <w:r w:rsidR="00D47AAA" w:rsidRPr="00F95BC7">
        <w:rPr>
          <w:rFonts w:ascii="Times New Roman" w:eastAsia="Times New Roman" w:hAnsi="Times New Roman" w:cs="Times New Roman"/>
          <w:sz w:val="24"/>
          <w:szCs w:val="24"/>
        </w:rPr>
        <w:t xml:space="preserve"> locais</w:t>
      </w:r>
      <w:r w:rsidR="00372577" w:rsidRPr="00F95BC7">
        <w:rPr>
          <w:rFonts w:ascii="Times New Roman" w:eastAsia="Times New Roman" w:hAnsi="Times New Roman" w:cs="Times New Roman"/>
          <w:sz w:val="24"/>
          <w:szCs w:val="24"/>
        </w:rPr>
        <w:t xml:space="preserve">. A figura x demonstra </w:t>
      </w:r>
      <w:r w:rsidR="00D47AAA" w:rsidRPr="00F95BC7">
        <w:rPr>
          <w:rFonts w:ascii="Times New Roman" w:eastAsia="Times New Roman" w:hAnsi="Times New Roman" w:cs="Times New Roman"/>
          <w:sz w:val="24"/>
          <w:szCs w:val="24"/>
        </w:rPr>
        <w:t xml:space="preserve">as fases necessárias para </w:t>
      </w:r>
      <w:r w:rsidR="00903568" w:rsidRPr="00F95BC7">
        <w:rPr>
          <w:rFonts w:ascii="Times New Roman" w:eastAsia="Times New Roman" w:hAnsi="Times New Roman" w:cs="Times New Roman"/>
          <w:sz w:val="24"/>
          <w:szCs w:val="24"/>
        </w:rPr>
        <w:t>haver</w:t>
      </w:r>
      <w:r w:rsidR="00D47AAA" w:rsidRPr="00F95BC7">
        <w:rPr>
          <w:rFonts w:ascii="Times New Roman" w:eastAsia="Times New Roman" w:hAnsi="Times New Roman" w:cs="Times New Roman"/>
          <w:sz w:val="24"/>
          <w:szCs w:val="24"/>
        </w:rPr>
        <w:t xml:space="preserve"> maior participação da sociedade com relação </w:t>
      </w:r>
      <w:r w:rsidR="00903568" w:rsidRPr="00F95BC7">
        <w:rPr>
          <w:rFonts w:ascii="Times New Roman" w:eastAsia="Times New Roman" w:hAnsi="Times New Roman" w:cs="Times New Roman"/>
          <w:sz w:val="24"/>
          <w:szCs w:val="24"/>
        </w:rPr>
        <w:t>à</w:t>
      </w:r>
      <w:r w:rsidR="00D47AAA" w:rsidRPr="00F95BC7">
        <w:rPr>
          <w:rFonts w:ascii="Times New Roman" w:eastAsia="Times New Roman" w:hAnsi="Times New Roman" w:cs="Times New Roman"/>
          <w:sz w:val="24"/>
          <w:szCs w:val="24"/>
        </w:rPr>
        <w:t>s decisões tomadas nas UC, considerando as normas previstas no Sistema Nacional de Unidades de Conservação (SNUC).</w:t>
      </w:r>
    </w:p>
    <w:p w14:paraId="3007B7C3" w14:textId="51DFAA64" w:rsidR="00372577" w:rsidRPr="00F95BC7" w:rsidRDefault="00372577" w:rsidP="00552971">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b/>
          <w:bCs/>
          <w:sz w:val="24"/>
          <w:szCs w:val="24"/>
        </w:rPr>
        <w:t xml:space="preserve">Figura </w:t>
      </w:r>
      <w:r w:rsidR="003F1370" w:rsidRPr="00F95BC7">
        <w:rPr>
          <w:rFonts w:ascii="Times New Roman" w:eastAsia="Times New Roman" w:hAnsi="Times New Roman" w:cs="Times New Roman"/>
          <w:b/>
          <w:bCs/>
          <w:sz w:val="24"/>
          <w:szCs w:val="24"/>
        </w:rPr>
        <w:t>04</w:t>
      </w:r>
      <w:r w:rsidRPr="00F95BC7">
        <w:rPr>
          <w:rFonts w:ascii="Times New Roman" w:eastAsia="Times New Roman" w:hAnsi="Times New Roman" w:cs="Times New Roman"/>
          <w:b/>
          <w:bCs/>
          <w:sz w:val="24"/>
          <w:szCs w:val="24"/>
        </w:rPr>
        <w:t>:</w:t>
      </w:r>
      <w:r w:rsidRPr="00F95BC7">
        <w:rPr>
          <w:rFonts w:ascii="Times New Roman" w:eastAsia="Times New Roman" w:hAnsi="Times New Roman" w:cs="Times New Roman"/>
          <w:sz w:val="24"/>
          <w:szCs w:val="24"/>
        </w:rPr>
        <w:t xml:space="preserve"> Gráfico governança municipal a partir de Unidades de Conservação</w:t>
      </w:r>
    </w:p>
    <w:p w14:paraId="5B9F9159" w14:textId="00F45139" w:rsidR="00372577" w:rsidRPr="00F95BC7" w:rsidRDefault="00372577" w:rsidP="00552971">
      <w:pPr>
        <w:spacing w:after="0" w:line="360" w:lineRule="auto"/>
        <w:ind w:firstLine="708"/>
        <w:jc w:val="both"/>
        <w:rPr>
          <w:rFonts w:ascii="Times New Roman" w:eastAsia="Times New Roman" w:hAnsi="Times New Roman" w:cs="Times New Roman"/>
          <w:sz w:val="24"/>
          <w:szCs w:val="24"/>
        </w:rPr>
      </w:pPr>
      <w:r w:rsidRPr="00F95BC7">
        <w:rPr>
          <w:noProof/>
        </w:rPr>
        <w:drawing>
          <wp:inline distT="0" distB="0" distL="0" distR="0" wp14:anchorId="37DC9FCB" wp14:editId="182F44ED">
            <wp:extent cx="5430520" cy="2719346"/>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26374" t="26342" r="11256" b="13110"/>
                    <a:stretch/>
                  </pic:blipFill>
                  <pic:spPr bwMode="auto">
                    <a:xfrm>
                      <a:off x="0" y="0"/>
                      <a:ext cx="5483014" cy="2745633"/>
                    </a:xfrm>
                    <a:prstGeom prst="rect">
                      <a:avLst/>
                    </a:prstGeom>
                    <a:ln>
                      <a:noFill/>
                    </a:ln>
                    <a:extLst>
                      <a:ext uri="{53640926-AAD7-44D8-BBD7-CCE9431645EC}">
                        <a14:shadowObscured xmlns:a14="http://schemas.microsoft.com/office/drawing/2010/main"/>
                      </a:ext>
                    </a:extLst>
                  </pic:spPr>
                </pic:pic>
              </a:graphicData>
            </a:graphic>
          </wp:inline>
        </w:drawing>
      </w:r>
    </w:p>
    <w:p w14:paraId="26AFFBA1" w14:textId="33023CDD" w:rsidR="00372577" w:rsidRPr="00F95BC7" w:rsidRDefault="00372577" w:rsidP="00552971">
      <w:pPr>
        <w:spacing w:after="0" w:line="360" w:lineRule="auto"/>
        <w:ind w:firstLine="708"/>
        <w:jc w:val="both"/>
        <w:rPr>
          <w:rFonts w:ascii="Times New Roman" w:eastAsia="Times New Roman" w:hAnsi="Times New Roman" w:cs="Times New Roman"/>
          <w:sz w:val="20"/>
          <w:szCs w:val="20"/>
        </w:rPr>
      </w:pPr>
      <w:r w:rsidRPr="00F95BC7">
        <w:rPr>
          <w:rFonts w:ascii="Times New Roman" w:eastAsia="Times New Roman" w:hAnsi="Times New Roman" w:cs="Times New Roman"/>
          <w:sz w:val="20"/>
          <w:szCs w:val="20"/>
        </w:rPr>
        <w:t>Fonte: Elaborado pelos autore</w:t>
      </w:r>
      <w:r w:rsidR="00903568" w:rsidRPr="00F95BC7">
        <w:rPr>
          <w:rFonts w:ascii="Times New Roman" w:eastAsia="Times New Roman" w:hAnsi="Times New Roman" w:cs="Times New Roman"/>
          <w:sz w:val="20"/>
          <w:szCs w:val="20"/>
        </w:rPr>
        <w:t>s</w:t>
      </w:r>
    </w:p>
    <w:p w14:paraId="045EE15E" w14:textId="06DE4F83" w:rsidR="00372577" w:rsidRPr="00F95BC7" w:rsidRDefault="00372577" w:rsidP="00552971">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gráfico mostra uma relação inversamente proporcional entre a participação do </w:t>
      </w:r>
      <w:r w:rsidR="00903568" w:rsidRPr="00F95BC7">
        <w:rPr>
          <w:rFonts w:ascii="Times New Roman" w:eastAsia="Times New Roman" w:hAnsi="Times New Roman" w:cs="Times New Roman"/>
          <w:sz w:val="24"/>
          <w:szCs w:val="24"/>
        </w:rPr>
        <w:t>E</w:t>
      </w:r>
      <w:r w:rsidRPr="00F95BC7">
        <w:rPr>
          <w:rFonts w:ascii="Times New Roman" w:eastAsia="Times New Roman" w:hAnsi="Times New Roman" w:cs="Times New Roman"/>
          <w:sz w:val="24"/>
          <w:szCs w:val="24"/>
        </w:rPr>
        <w:t xml:space="preserve">stado e da sociedade, </w:t>
      </w:r>
      <w:r w:rsidR="003C6A1A" w:rsidRPr="00F95BC7">
        <w:rPr>
          <w:rFonts w:ascii="Times New Roman" w:eastAsia="Times New Roman" w:hAnsi="Times New Roman" w:cs="Times New Roman"/>
          <w:sz w:val="24"/>
          <w:szCs w:val="24"/>
        </w:rPr>
        <w:t xml:space="preserve">pois </w:t>
      </w:r>
      <w:r w:rsidRPr="00F95BC7">
        <w:rPr>
          <w:rFonts w:ascii="Times New Roman" w:eastAsia="Times New Roman" w:hAnsi="Times New Roman" w:cs="Times New Roman"/>
          <w:sz w:val="24"/>
          <w:szCs w:val="24"/>
        </w:rPr>
        <w:t>quanto maiores forem as decisões da sociedade, menor será a participação do estado e vice</w:t>
      </w:r>
      <w:r w:rsidR="00903568"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versa. Assim, o papel inicial do </w:t>
      </w:r>
      <w:r w:rsidR="00903568" w:rsidRPr="00F95BC7">
        <w:rPr>
          <w:rFonts w:ascii="Times New Roman" w:eastAsia="Times New Roman" w:hAnsi="Times New Roman" w:cs="Times New Roman"/>
          <w:sz w:val="24"/>
          <w:szCs w:val="24"/>
        </w:rPr>
        <w:t>E</w:t>
      </w:r>
      <w:r w:rsidRPr="00F95BC7">
        <w:rPr>
          <w:rFonts w:ascii="Times New Roman" w:eastAsia="Times New Roman" w:hAnsi="Times New Roman" w:cs="Times New Roman"/>
          <w:sz w:val="24"/>
          <w:szCs w:val="24"/>
        </w:rPr>
        <w:t>stado em possibilitar estrutura</w:t>
      </w:r>
      <w:r w:rsidR="004A76FA" w:rsidRPr="00F95BC7">
        <w:rPr>
          <w:rFonts w:ascii="Times New Roman" w:eastAsia="Times New Roman" w:hAnsi="Times New Roman" w:cs="Times New Roman"/>
          <w:sz w:val="24"/>
          <w:szCs w:val="24"/>
        </w:rPr>
        <w:t>s</w:t>
      </w:r>
      <w:r w:rsidRPr="00F95BC7">
        <w:rPr>
          <w:rFonts w:ascii="Times New Roman" w:eastAsia="Times New Roman" w:hAnsi="Times New Roman" w:cs="Times New Roman"/>
          <w:sz w:val="24"/>
          <w:szCs w:val="24"/>
        </w:rPr>
        <w:t xml:space="preserve"> forma</w:t>
      </w:r>
      <w:r w:rsidR="004A76FA" w:rsidRPr="00F95BC7">
        <w:rPr>
          <w:rFonts w:ascii="Times New Roman" w:eastAsia="Times New Roman" w:hAnsi="Times New Roman" w:cs="Times New Roman"/>
          <w:sz w:val="24"/>
          <w:szCs w:val="24"/>
        </w:rPr>
        <w:t>is</w:t>
      </w:r>
      <w:r w:rsidRPr="00F95BC7">
        <w:rPr>
          <w:rFonts w:ascii="Times New Roman" w:eastAsia="Times New Roman" w:hAnsi="Times New Roman" w:cs="Times New Roman"/>
          <w:sz w:val="24"/>
          <w:szCs w:val="24"/>
        </w:rPr>
        <w:t xml:space="preserve"> para UC </w:t>
      </w:r>
      <w:r w:rsidR="00903568" w:rsidRPr="00F95BC7">
        <w:rPr>
          <w:rFonts w:ascii="Times New Roman" w:eastAsia="Times New Roman" w:hAnsi="Times New Roman" w:cs="Times New Roman"/>
          <w:sz w:val="24"/>
          <w:szCs w:val="24"/>
        </w:rPr>
        <w:t>é</w:t>
      </w:r>
      <w:r w:rsidR="004A76FA" w:rsidRPr="00F95BC7">
        <w:rPr>
          <w:rFonts w:ascii="Times New Roman" w:eastAsia="Times New Roman" w:hAnsi="Times New Roman" w:cs="Times New Roman"/>
          <w:sz w:val="24"/>
          <w:szCs w:val="24"/>
        </w:rPr>
        <w:t xml:space="preserve"> importante, porém, não pode ser absolut</w:t>
      </w:r>
      <w:r w:rsidR="00903568" w:rsidRPr="00F95BC7">
        <w:rPr>
          <w:rFonts w:ascii="Times New Roman" w:eastAsia="Times New Roman" w:hAnsi="Times New Roman" w:cs="Times New Roman"/>
          <w:sz w:val="24"/>
          <w:szCs w:val="24"/>
        </w:rPr>
        <w:t>o</w:t>
      </w:r>
      <w:r w:rsidR="00D47AAA" w:rsidRPr="00F95BC7">
        <w:rPr>
          <w:rFonts w:ascii="Times New Roman" w:eastAsia="Times New Roman" w:hAnsi="Times New Roman" w:cs="Times New Roman"/>
          <w:sz w:val="24"/>
          <w:szCs w:val="24"/>
        </w:rPr>
        <w:t xml:space="preserve">. </w:t>
      </w:r>
      <w:r w:rsidR="003C6A1A" w:rsidRPr="00F95BC7">
        <w:rPr>
          <w:rFonts w:ascii="Times New Roman" w:eastAsia="Times New Roman" w:hAnsi="Times New Roman" w:cs="Times New Roman"/>
          <w:sz w:val="24"/>
          <w:szCs w:val="24"/>
        </w:rPr>
        <w:t>E c</w:t>
      </w:r>
      <w:r w:rsidR="004A76FA" w:rsidRPr="00F95BC7">
        <w:rPr>
          <w:rFonts w:ascii="Times New Roman" w:eastAsia="Times New Roman" w:hAnsi="Times New Roman" w:cs="Times New Roman"/>
          <w:sz w:val="24"/>
          <w:szCs w:val="24"/>
        </w:rPr>
        <w:t xml:space="preserve">abe ao Estado gradativamente reduzir o </w:t>
      </w:r>
      <w:r w:rsidR="00D47AAA" w:rsidRPr="00F95BC7">
        <w:rPr>
          <w:rFonts w:ascii="Times New Roman" w:eastAsia="Times New Roman" w:hAnsi="Times New Roman" w:cs="Times New Roman"/>
          <w:sz w:val="24"/>
          <w:szCs w:val="24"/>
        </w:rPr>
        <w:t xml:space="preserve">seu </w:t>
      </w:r>
      <w:r w:rsidR="004A76FA" w:rsidRPr="00F95BC7">
        <w:rPr>
          <w:rFonts w:ascii="Times New Roman" w:eastAsia="Times New Roman" w:hAnsi="Times New Roman" w:cs="Times New Roman"/>
          <w:sz w:val="24"/>
          <w:szCs w:val="24"/>
        </w:rPr>
        <w:t xml:space="preserve">espaço e, com isso, </w:t>
      </w:r>
      <w:r w:rsidR="004A76FA" w:rsidRPr="00F95BC7">
        <w:rPr>
          <w:rFonts w:ascii="Times New Roman" w:eastAsia="Times New Roman" w:hAnsi="Times New Roman" w:cs="Times New Roman"/>
          <w:sz w:val="24"/>
          <w:szCs w:val="24"/>
        </w:rPr>
        <w:lastRenderedPageBreak/>
        <w:t xml:space="preserve">aumentar os espaços da sociedade. </w:t>
      </w:r>
      <w:r w:rsidRPr="00F95BC7">
        <w:rPr>
          <w:rFonts w:ascii="Times New Roman" w:eastAsia="Times New Roman" w:hAnsi="Times New Roman" w:cs="Times New Roman"/>
          <w:sz w:val="24"/>
          <w:szCs w:val="24"/>
        </w:rPr>
        <w:t xml:space="preserve">Destaca-se ainda, que nunca será nula a participação do </w:t>
      </w:r>
      <w:r w:rsidR="00903568" w:rsidRPr="00F95BC7">
        <w:rPr>
          <w:rFonts w:ascii="Times New Roman" w:eastAsia="Times New Roman" w:hAnsi="Times New Roman" w:cs="Times New Roman"/>
          <w:sz w:val="24"/>
          <w:szCs w:val="24"/>
        </w:rPr>
        <w:t>E</w:t>
      </w:r>
      <w:r w:rsidRPr="00F95BC7">
        <w:rPr>
          <w:rFonts w:ascii="Times New Roman" w:eastAsia="Times New Roman" w:hAnsi="Times New Roman" w:cs="Times New Roman"/>
          <w:sz w:val="24"/>
          <w:szCs w:val="24"/>
        </w:rPr>
        <w:t>stado, bem como da sociedade</w:t>
      </w:r>
      <w:r w:rsidR="00903568" w:rsidRPr="00F95BC7">
        <w:rPr>
          <w:rFonts w:ascii="Times New Roman" w:eastAsia="Times New Roman" w:hAnsi="Times New Roman" w:cs="Times New Roman"/>
          <w:sz w:val="24"/>
          <w:szCs w:val="24"/>
        </w:rPr>
        <w:t>. P</w:t>
      </w:r>
      <w:r w:rsidRPr="00F95BC7">
        <w:rPr>
          <w:rFonts w:ascii="Times New Roman" w:eastAsia="Times New Roman" w:hAnsi="Times New Roman" w:cs="Times New Roman"/>
          <w:sz w:val="24"/>
          <w:szCs w:val="24"/>
        </w:rPr>
        <w:t>or este motivo</w:t>
      </w:r>
      <w:r w:rsidR="00903568"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os “degraus” nunca toca</w:t>
      </w:r>
      <w:r w:rsidR="00903568" w:rsidRPr="00F95BC7">
        <w:rPr>
          <w:rFonts w:ascii="Times New Roman" w:eastAsia="Times New Roman" w:hAnsi="Times New Roman" w:cs="Times New Roman"/>
          <w:sz w:val="24"/>
          <w:szCs w:val="24"/>
        </w:rPr>
        <w:t>m</w:t>
      </w:r>
      <w:r w:rsidRPr="00F95BC7">
        <w:rPr>
          <w:rFonts w:ascii="Times New Roman" w:eastAsia="Times New Roman" w:hAnsi="Times New Roman" w:cs="Times New Roman"/>
          <w:sz w:val="24"/>
          <w:szCs w:val="24"/>
        </w:rPr>
        <w:t xml:space="preserve"> a</w:t>
      </w:r>
      <w:r w:rsidR="0027629D" w:rsidRPr="00F95BC7">
        <w:rPr>
          <w:rFonts w:ascii="Times New Roman" w:eastAsia="Times New Roman" w:hAnsi="Times New Roman" w:cs="Times New Roman"/>
          <w:sz w:val="24"/>
          <w:szCs w:val="24"/>
        </w:rPr>
        <w:t>s</w:t>
      </w:r>
      <w:r w:rsidRPr="00F95BC7">
        <w:rPr>
          <w:rFonts w:ascii="Times New Roman" w:eastAsia="Times New Roman" w:hAnsi="Times New Roman" w:cs="Times New Roman"/>
          <w:sz w:val="24"/>
          <w:szCs w:val="24"/>
        </w:rPr>
        <w:t xml:space="preserve"> linha</w:t>
      </w:r>
      <w:r w:rsidR="0027629D" w:rsidRPr="00F95BC7">
        <w:rPr>
          <w:rFonts w:ascii="Times New Roman" w:eastAsia="Times New Roman" w:hAnsi="Times New Roman" w:cs="Times New Roman"/>
          <w:sz w:val="24"/>
          <w:szCs w:val="24"/>
        </w:rPr>
        <w:t>s</w:t>
      </w:r>
      <w:r w:rsidRPr="00F95BC7">
        <w:rPr>
          <w:rFonts w:ascii="Times New Roman" w:eastAsia="Times New Roman" w:hAnsi="Times New Roman" w:cs="Times New Roman"/>
          <w:sz w:val="24"/>
          <w:szCs w:val="24"/>
        </w:rPr>
        <w:t xml:space="preserve"> do gráfico.</w:t>
      </w:r>
    </w:p>
    <w:p w14:paraId="14A13DE7" w14:textId="321B90FA" w:rsidR="001D204D" w:rsidRPr="00F95BC7" w:rsidRDefault="004A76FA" w:rsidP="001D204D">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No caso desta pesquisa, que analisou as UC localizadas em Ananindeua-PA, observa-se </w:t>
      </w:r>
      <w:r w:rsidR="000A7F90" w:rsidRPr="00F95BC7">
        <w:rPr>
          <w:rFonts w:ascii="Times New Roman" w:eastAsia="Times New Roman" w:hAnsi="Times New Roman" w:cs="Times New Roman"/>
          <w:sz w:val="24"/>
          <w:szCs w:val="24"/>
        </w:rPr>
        <w:t>que</w:t>
      </w:r>
      <w:r w:rsidR="001D204D" w:rsidRPr="00F95BC7">
        <w:rPr>
          <w:rFonts w:ascii="Times New Roman" w:eastAsia="Times New Roman" w:hAnsi="Times New Roman" w:cs="Times New Roman"/>
          <w:sz w:val="24"/>
          <w:szCs w:val="24"/>
        </w:rPr>
        <w:t xml:space="preserve"> mesmo </w:t>
      </w:r>
      <w:r w:rsidR="00903568" w:rsidRPr="00F95BC7">
        <w:rPr>
          <w:rFonts w:ascii="Times New Roman" w:eastAsia="Times New Roman" w:hAnsi="Times New Roman" w:cs="Times New Roman"/>
          <w:sz w:val="24"/>
          <w:szCs w:val="24"/>
        </w:rPr>
        <w:t>ocorrendo</w:t>
      </w:r>
      <w:r w:rsidR="001D204D" w:rsidRPr="00F95BC7">
        <w:rPr>
          <w:rFonts w:ascii="Times New Roman" w:eastAsia="Times New Roman" w:hAnsi="Times New Roman" w:cs="Times New Roman"/>
          <w:sz w:val="24"/>
          <w:szCs w:val="24"/>
        </w:rPr>
        <w:t xml:space="preserve"> reuniões dos conselhos gestores, nas UC de gestão estadual, ainda há concentração dos interesses </w:t>
      </w:r>
      <w:r w:rsidR="0027629D" w:rsidRPr="00F95BC7">
        <w:rPr>
          <w:rFonts w:ascii="Times New Roman" w:eastAsia="Times New Roman" w:hAnsi="Times New Roman" w:cs="Times New Roman"/>
          <w:sz w:val="24"/>
          <w:szCs w:val="24"/>
        </w:rPr>
        <w:t xml:space="preserve">do </w:t>
      </w:r>
      <w:r w:rsidR="00903568" w:rsidRPr="00F95BC7">
        <w:rPr>
          <w:rFonts w:ascii="Times New Roman" w:eastAsia="Times New Roman" w:hAnsi="Times New Roman" w:cs="Times New Roman"/>
          <w:sz w:val="24"/>
          <w:szCs w:val="24"/>
        </w:rPr>
        <w:t>poder público estadual</w:t>
      </w:r>
      <w:r w:rsidR="001D204D" w:rsidRPr="00F95BC7">
        <w:rPr>
          <w:rFonts w:ascii="Times New Roman" w:eastAsia="Times New Roman" w:hAnsi="Times New Roman" w:cs="Times New Roman"/>
          <w:sz w:val="24"/>
          <w:szCs w:val="24"/>
        </w:rPr>
        <w:t xml:space="preserve">, inclusive com quantitativo maior de cadeiras como se observa nas três UC. Com relação </w:t>
      </w:r>
      <w:r w:rsidR="0027629D" w:rsidRPr="00F95BC7">
        <w:rPr>
          <w:rFonts w:ascii="Times New Roman" w:eastAsia="Times New Roman" w:hAnsi="Times New Roman" w:cs="Times New Roman"/>
          <w:sz w:val="24"/>
          <w:szCs w:val="24"/>
        </w:rPr>
        <w:t>à</w:t>
      </w:r>
      <w:r w:rsidR="001D204D" w:rsidRPr="00F95BC7">
        <w:rPr>
          <w:rFonts w:ascii="Times New Roman" w:eastAsia="Times New Roman" w:hAnsi="Times New Roman" w:cs="Times New Roman"/>
          <w:sz w:val="24"/>
          <w:szCs w:val="24"/>
        </w:rPr>
        <w:t>s duas UC municipais, apesar de existir</w:t>
      </w:r>
      <w:r w:rsidR="0027629D" w:rsidRPr="00F95BC7">
        <w:rPr>
          <w:rFonts w:ascii="Times New Roman" w:eastAsia="Times New Roman" w:hAnsi="Times New Roman" w:cs="Times New Roman"/>
          <w:sz w:val="24"/>
          <w:szCs w:val="24"/>
        </w:rPr>
        <w:t>em</w:t>
      </w:r>
      <w:r w:rsidR="001D204D" w:rsidRPr="00F95BC7">
        <w:rPr>
          <w:rFonts w:ascii="Times New Roman" w:eastAsia="Times New Roman" w:hAnsi="Times New Roman" w:cs="Times New Roman"/>
          <w:sz w:val="24"/>
          <w:szCs w:val="24"/>
        </w:rPr>
        <w:t xml:space="preserve"> regulamentos que cri</w:t>
      </w:r>
      <w:r w:rsidR="0027629D" w:rsidRPr="00F95BC7">
        <w:rPr>
          <w:rFonts w:ascii="Times New Roman" w:eastAsia="Times New Roman" w:hAnsi="Times New Roman" w:cs="Times New Roman"/>
          <w:sz w:val="24"/>
          <w:szCs w:val="24"/>
        </w:rPr>
        <w:t>a</w:t>
      </w:r>
      <w:r w:rsidR="001D204D" w:rsidRPr="00F95BC7">
        <w:rPr>
          <w:rFonts w:ascii="Times New Roman" w:eastAsia="Times New Roman" w:hAnsi="Times New Roman" w:cs="Times New Roman"/>
          <w:sz w:val="24"/>
          <w:szCs w:val="24"/>
        </w:rPr>
        <w:t>m os conselhos gestores, estes não têm atuação. Assim, observa-se que a participação estatal nas UC localizadas em Ananindeua ainda é maior que a participação da sociedade.</w:t>
      </w:r>
    </w:p>
    <w:p w14:paraId="669598F1" w14:textId="62DB7CE7" w:rsidR="00426A3B" w:rsidRPr="00F95BC7" w:rsidRDefault="003E5F4E" w:rsidP="003E5F4E">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Dentre os</w:t>
      </w:r>
      <w:r w:rsidR="00426A3B" w:rsidRPr="00F95BC7">
        <w:rPr>
          <w:rFonts w:ascii="Times New Roman" w:eastAsia="Times New Roman" w:hAnsi="Times New Roman" w:cs="Times New Roman"/>
          <w:sz w:val="24"/>
          <w:szCs w:val="24"/>
        </w:rPr>
        <w:t xml:space="preserve"> principais achados encontrados na pesquisa</w:t>
      </w:r>
      <w:r w:rsidRPr="00F95BC7">
        <w:rPr>
          <w:rFonts w:ascii="Times New Roman" w:eastAsia="Times New Roman" w:hAnsi="Times New Roman" w:cs="Times New Roman"/>
          <w:sz w:val="24"/>
          <w:szCs w:val="24"/>
        </w:rPr>
        <w:t xml:space="preserve"> destaca-se</w:t>
      </w:r>
      <w:r w:rsidR="00426A3B" w:rsidRPr="00F95BC7">
        <w:rPr>
          <w:rFonts w:ascii="Times New Roman" w:eastAsia="Times New Roman" w:hAnsi="Times New Roman" w:cs="Times New Roman"/>
          <w:sz w:val="24"/>
          <w:szCs w:val="24"/>
        </w:rPr>
        <w:t xml:space="preserve"> a ausência de participação da sociedade civil nas reuniões dos conselhos gestores</w:t>
      </w:r>
      <w:r w:rsidRPr="00F95BC7">
        <w:rPr>
          <w:rFonts w:ascii="Times New Roman" w:eastAsia="Times New Roman" w:hAnsi="Times New Roman" w:cs="Times New Roman"/>
          <w:sz w:val="24"/>
          <w:szCs w:val="24"/>
        </w:rPr>
        <w:t>. I</w:t>
      </w:r>
      <w:r w:rsidR="00426A3B" w:rsidRPr="00F95BC7">
        <w:rPr>
          <w:rFonts w:ascii="Times New Roman" w:eastAsia="Times New Roman" w:hAnsi="Times New Roman" w:cs="Times New Roman"/>
          <w:sz w:val="24"/>
          <w:szCs w:val="24"/>
        </w:rPr>
        <w:t xml:space="preserve">sso ocorre possivelmente </w:t>
      </w:r>
      <w:r w:rsidRPr="00F95BC7">
        <w:rPr>
          <w:rFonts w:ascii="Times New Roman" w:eastAsia="Times New Roman" w:hAnsi="Times New Roman" w:cs="Times New Roman"/>
          <w:sz w:val="24"/>
          <w:szCs w:val="24"/>
        </w:rPr>
        <w:t xml:space="preserve">por serem realizadas em horário comercial e </w:t>
      </w:r>
      <w:r w:rsidR="00426A3B" w:rsidRPr="00F95BC7">
        <w:rPr>
          <w:rFonts w:ascii="Times New Roman" w:eastAsia="Times New Roman" w:hAnsi="Times New Roman" w:cs="Times New Roman"/>
          <w:sz w:val="24"/>
          <w:szCs w:val="24"/>
        </w:rPr>
        <w:t xml:space="preserve">pelo distanciamento </w:t>
      </w:r>
      <w:r w:rsidRPr="00F95BC7">
        <w:rPr>
          <w:rFonts w:ascii="Times New Roman" w:eastAsia="Times New Roman" w:hAnsi="Times New Roman" w:cs="Times New Roman"/>
          <w:sz w:val="24"/>
          <w:szCs w:val="24"/>
        </w:rPr>
        <w:t xml:space="preserve">entre </w:t>
      </w:r>
      <w:r w:rsidR="00426A3B" w:rsidRPr="00F95BC7">
        <w:rPr>
          <w:rFonts w:ascii="Times New Roman" w:eastAsia="Times New Roman" w:hAnsi="Times New Roman" w:cs="Times New Roman"/>
          <w:sz w:val="24"/>
          <w:szCs w:val="24"/>
        </w:rPr>
        <w:t xml:space="preserve">o local das reuniões </w:t>
      </w:r>
      <w:r w:rsidRPr="00F95BC7">
        <w:rPr>
          <w:rFonts w:ascii="Times New Roman" w:eastAsia="Times New Roman" w:hAnsi="Times New Roman" w:cs="Times New Roman"/>
          <w:sz w:val="24"/>
          <w:szCs w:val="24"/>
        </w:rPr>
        <w:t>e</w:t>
      </w:r>
      <w:r w:rsidR="00426A3B" w:rsidRPr="00F95BC7">
        <w:rPr>
          <w:rFonts w:ascii="Times New Roman" w:eastAsia="Times New Roman" w:hAnsi="Times New Roman" w:cs="Times New Roman"/>
          <w:sz w:val="24"/>
          <w:szCs w:val="24"/>
        </w:rPr>
        <w:t xml:space="preserve"> os locais de trabalho e/ou moradia destes atores</w:t>
      </w:r>
      <w:r w:rsidRPr="00F95BC7">
        <w:rPr>
          <w:rFonts w:ascii="Times New Roman" w:eastAsia="Times New Roman" w:hAnsi="Times New Roman" w:cs="Times New Roman"/>
          <w:sz w:val="24"/>
          <w:szCs w:val="24"/>
        </w:rPr>
        <w:t>, bem como os conselheiros</w:t>
      </w:r>
      <w:r w:rsidR="00426A3B" w:rsidRPr="00F95BC7">
        <w:rPr>
          <w:rFonts w:ascii="Times New Roman" w:eastAsia="Times New Roman" w:hAnsi="Times New Roman" w:cs="Times New Roman"/>
          <w:sz w:val="24"/>
          <w:szCs w:val="24"/>
        </w:rPr>
        <w:t xml:space="preserve"> não </w:t>
      </w:r>
      <w:r w:rsidRPr="00F95BC7">
        <w:rPr>
          <w:rFonts w:ascii="Times New Roman" w:eastAsia="Times New Roman" w:hAnsi="Times New Roman" w:cs="Times New Roman"/>
          <w:sz w:val="24"/>
          <w:szCs w:val="24"/>
        </w:rPr>
        <w:t>receberem ajuda de custo</w:t>
      </w:r>
      <w:r w:rsidR="00426A3B" w:rsidRPr="00F95BC7">
        <w:rPr>
          <w:rFonts w:ascii="Times New Roman" w:eastAsia="Times New Roman" w:hAnsi="Times New Roman" w:cs="Times New Roman"/>
          <w:sz w:val="24"/>
          <w:szCs w:val="24"/>
        </w:rPr>
        <w:t>, o que muitas vezes inviabiliza suas participações</w:t>
      </w:r>
      <w:r w:rsidRPr="00F95BC7">
        <w:rPr>
          <w:rFonts w:ascii="Times New Roman" w:eastAsia="Times New Roman" w:hAnsi="Times New Roman" w:cs="Times New Roman"/>
          <w:sz w:val="24"/>
          <w:szCs w:val="24"/>
        </w:rPr>
        <w:t>.  Outros achados são a centralidade das ações pelo poder p</w:t>
      </w:r>
      <w:r w:rsidR="0052135E" w:rsidRPr="00F95BC7">
        <w:rPr>
          <w:rFonts w:ascii="Times New Roman" w:eastAsia="Times New Roman" w:hAnsi="Times New Roman" w:cs="Times New Roman"/>
          <w:sz w:val="24"/>
          <w:szCs w:val="24"/>
        </w:rPr>
        <w:t>ú</w:t>
      </w:r>
      <w:r w:rsidRPr="00F95BC7">
        <w:rPr>
          <w:rFonts w:ascii="Times New Roman" w:eastAsia="Times New Roman" w:hAnsi="Times New Roman" w:cs="Times New Roman"/>
          <w:sz w:val="24"/>
          <w:szCs w:val="24"/>
        </w:rPr>
        <w:t>blico estadual nas UC estaduais e a ausência de conselho gestor nas UC municipais.</w:t>
      </w:r>
    </w:p>
    <w:p w14:paraId="1B246BB2" w14:textId="77777777" w:rsidR="003137C0" w:rsidRPr="00F95BC7" w:rsidRDefault="004F6FC7" w:rsidP="00F16D46">
      <w:pPr>
        <w:pStyle w:val="PargrafodaLista"/>
        <w:numPr>
          <w:ilvl w:val="0"/>
          <w:numId w:val="1"/>
        </w:numPr>
        <w:spacing w:after="0" w:line="360" w:lineRule="auto"/>
        <w:jc w:val="both"/>
        <w:outlineLvl w:val="0"/>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CONCLUSÕES</w:t>
      </w:r>
    </w:p>
    <w:p w14:paraId="5F443B3E" w14:textId="12DE237F"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 objetivo do artigo foi demonstrar o papel das unidades de conservação de Ananindeua para a realização de práticas de governança municipal. Para isso, foram abordados tópicos teóricos relacionados ao conceito de governança municipal, noções sobre unidade de conservação e arena pública. Assim, a pesquisa </w:t>
      </w:r>
      <w:r w:rsidRPr="00F95BC7">
        <w:rPr>
          <w:rFonts w:ascii="Times New Roman" w:eastAsia="Times New Roman" w:hAnsi="Times New Roman" w:cs="Times New Roman"/>
          <w:sz w:val="24"/>
          <w:szCs w:val="24"/>
          <w:shd w:val="clear" w:color="auto" w:fill="FFFFFF" w:themeFill="background1"/>
        </w:rPr>
        <w:t>avaliou</w:t>
      </w:r>
      <w:r w:rsidRPr="00F95BC7">
        <w:rPr>
          <w:rFonts w:ascii="Times New Roman" w:eastAsia="Times New Roman" w:hAnsi="Times New Roman" w:cs="Times New Roman"/>
          <w:sz w:val="24"/>
          <w:szCs w:val="24"/>
        </w:rPr>
        <w:t xml:space="preserve"> a perspectiva de governança a partir das cinco UC localizadas no município de Ananindeua, sendo três unidades de gestão estadual e duas de gestão municipal.</w:t>
      </w:r>
      <w:r w:rsidR="00426A3B" w:rsidRPr="00F95BC7">
        <w:rPr>
          <w:rFonts w:ascii="Times New Roman" w:eastAsia="Times New Roman" w:hAnsi="Times New Roman" w:cs="Times New Roman"/>
          <w:sz w:val="24"/>
          <w:szCs w:val="24"/>
        </w:rPr>
        <w:t xml:space="preserve"> </w:t>
      </w:r>
    </w:p>
    <w:p w14:paraId="57A1A079" w14:textId="77777777" w:rsidR="003137C0" w:rsidRPr="00F95BC7" w:rsidRDefault="004F6FC7">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As UC de gestão estadual incluem parcialmente o governo local (município de Ananindeua) e outros poderes na sua gestão participativa, como legislativo e judiciário. No entanto, o poder local representado por associações de moradores, universidades e ONG têm assentos nos conselhos consultivos das três unidades de gestão estadual. Entretanto, esta participação é ineficiente, pois atores do município com assentos nos conselhos não participam de todas as reuniões, como identificado nas atas de reunião divulgadas pelo IDEFLOR-BIO. </w:t>
      </w:r>
    </w:p>
    <w:p w14:paraId="6E9631D3" w14:textId="5D2592F5" w:rsidR="003137C0" w:rsidRPr="00F95BC7" w:rsidRDefault="004F6FC7">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Mesmo </w:t>
      </w:r>
      <w:r w:rsidR="000D65CD" w:rsidRPr="00F95BC7">
        <w:rPr>
          <w:rFonts w:ascii="Times New Roman" w:eastAsia="Times New Roman" w:hAnsi="Times New Roman" w:cs="Times New Roman"/>
          <w:sz w:val="24"/>
          <w:szCs w:val="24"/>
        </w:rPr>
        <w:t>que</w:t>
      </w:r>
      <w:r w:rsidRPr="00F95BC7">
        <w:rPr>
          <w:rFonts w:ascii="Times New Roman" w:eastAsia="Times New Roman" w:hAnsi="Times New Roman" w:cs="Times New Roman"/>
          <w:sz w:val="24"/>
          <w:szCs w:val="24"/>
        </w:rPr>
        <w:t xml:space="preserve"> positiva a inclusão de atores da sociedade civil nos conselhos gestores, sua participação é pequena e </w:t>
      </w:r>
      <w:r w:rsidR="000D65CD" w:rsidRPr="00F95BC7">
        <w:rPr>
          <w:rFonts w:ascii="Times New Roman" w:eastAsia="Times New Roman" w:hAnsi="Times New Roman" w:cs="Times New Roman"/>
          <w:sz w:val="24"/>
          <w:szCs w:val="24"/>
        </w:rPr>
        <w:t>há</w:t>
      </w:r>
      <w:r w:rsidRPr="00F95BC7">
        <w:rPr>
          <w:rFonts w:ascii="Times New Roman" w:eastAsia="Times New Roman" w:hAnsi="Times New Roman" w:cs="Times New Roman"/>
          <w:sz w:val="24"/>
          <w:szCs w:val="24"/>
        </w:rPr>
        <w:t xml:space="preserve"> centralização das decisões sob a orientação do governo regional (estado do Pará), o que minimiza o debate entre os interesses do Estado e da sociedade de Ananindeua. Cabe destacar que as UC de gestão estadual não são restritas ao município de Ananindeua e envolvem também outros municípios da</w:t>
      </w:r>
      <w:r w:rsidR="00F16D46" w:rsidRPr="00F95BC7">
        <w:rPr>
          <w:rFonts w:ascii="Times New Roman" w:eastAsia="Times New Roman" w:hAnsi="Times New Roman" w:cs="Times New Roman"/>
          <w:sz w:val="24"/>
          <w:szCs w:val="24"/>
        </w:rPr>
        <w:t xml:space="preserve"> Região Metropolitana de Belém (</w:t>
      </w:r>
      <w:r w:rsidRPr="00F95BC7">
        <w:rPr>
          <w:rFonts w:ascii="Times New Roman" w:eastAsia="Times New Roman" w:hAnsi="Times New Roman" w:cs="Times New Roman"/>
          <w:sz w:val="24"/>
          <w:szCs w:val="24"/>
        </w:rPr>
        <w:t>RMB</w:t>
      </w:r>
      <w:r w:rsidR="00F16D46"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Belém tem participação central nos debates sobre a UC, bem como </w:t>
      </w:r>
      <w:r w:rsidR="00877C29" w:rsidRPr="00F95BC7">
        <w:rPr>
          <w:rFonts w:ascii="Times New Roman" w:eastAsia="Times New Roman" w:hAnsi="Times New Roman" w:cs="Times New Roman"/>
          <w:sz w:val="24"/>
          <w:szCs w:val="24"/>
        </w:rPr>
        <w:t xml:space="preserve">sedia </w:t>
      </w:r>
      <w:r w:rsidRPr="00F95BC7">
        <w:rPr>
          <w:rFonts w:ascii="Times New Roman" w:eastAsia="Times New Roman" w:hAnsi="Times New Roman" w:cs="Times New Roman"/>
          <w:sz w:val="24"/>
          <w:szCs w:val="24"/>
        </w:rPr>
        <w:t>as reuniões do conselho gestor.</w:t>
      </w:r>
    </w:p>
    <w:p w14:paraId="13024CC3" w14:textId="075D1BB1" w:rsidR="003137C0" w:rsidRPr="00F95BC7" w:rsidRDefault="004F6FC7">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lastRenderedPageBreak/>
        <w:t>Já as UC de gestão municipal possuem legislação permitindo a criação de conselhos consultivos, no entanto não há nomeação dos membros. A constituição de conselhos em UC não deve ficar apenas ancorada na formalidade legal, mas deve ser espaço de amplo diálogo e formação de estratégias para atenção à sustentabilidade da UC. Neste aspecto, cabe à gestão municipal possibilitar a participação dos atores municipais, pois é a responsável por estruturar e viabilizar a participação d</w:t>
      </w:r>
      <w:r w:rsidR="003C6A1A" w:rsidRPr="00F95BC7">
        <w:rPr>
          <w:rFonts w:ascii="Times New Roman" w:eastAsia="Times New Roman" w:hAnsi="Times New Roman" w:cs="Times New Roman"/>
          <w:sz w:val="24"/>
          <w:szCs w:val="24"/>
        </w:rPr>
        <w:t>e</w:t>
      </w:r>
      <w:r w:rsidRPr="00F95BC7">
        <w:rPr>
          <w:rFonts w:ascii="Times New Roman" w:eastAsia="Times New Roman" w:hAnsi="Times New Roman" w:cs="Times New Roman"/>
          <w:sz w:val="24"/>
          <w:szCs w:val="24"/>
        </w:rPr>
        <w:t xml:space="preserve"> </w:t>
      </w:r>
      <w:r w:rsidR="003C6A1A" w:rsidRPr="00F95BC7">
        <w:rPr>
          <w:rFonts w:ascii="Times New Roman" w:eastAsia="Times New Roman" w:hAnsi="Times New Roman" w:cs="Times New Roman"/>
          <w:sz w:val="24"/>
          <w:szCs w:val="24"/>
        </w:rPr>
        <w:t>atores sociais diversos</w:t>
      </w:r>
      <w:r w:rsidRPr="00F95BC7">
        <w:rPr>
          <w:rFonts w:ascii="Times New Roman" w:eastAsia="Times New Roman" w:hAnsi="Times New Roman" w:cs="Times New Roman"/>
          <w:sz w:val="24"/>
          <w:szCs w:val="24"/>
        </w:rPr>
        <w:t>, como povos tradicionais, sociedade civil, agentes públicos e políticos etc.</w:t>
      </w:r>
    </w:p>
    <w:p w14:paraId="5A4797E6" w14:textId="1CC167D2" w:rsidR="003137C0" w:rsidRPr="00F95BC7" w:rsidRDefault="004F6FC7">
      <w:pPr>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Construção de um mosaico de áreas protegidas na RMB, do qual Ananindeua faz parte</w:t>
      </w:r>
      <w:r w:rsidR="00877C29"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é um processo que envolve debates abertos com a sociedade. Entretanto, alguns representantes da sociedade acabam tendo mais espaço do que outros, gerando </w:t>
      </w:r>
      <w:r w:rsidR="00877C29" w:rsidRPr="00F95BC7">
        <w:rPr>
          <w:rFonts w:ascii="Times New Roman" w:eastAsia="Times New Roman" w:hAnsi="Times New Roman" w:cs="Times New Roman"/>
          <w:sz w:val="24"/>
          <w:szCs w:val="24"/>
        </w:rPr>
        <w:t>desequilíbrio de forças</w:t>
      </w:r>
      <w:r w:rsidRPr="00F95BC7">
        <w:rPr>
          <w:rFonts w:ascii="Times New Roman" w:eastAsia="Times New Roman" w:hAnsi="Times New Roman" w:cs="Times New Roman"/>
          <w:sz w:val="24"/>
          <w:szCs w:val="24"/>
        </w:rPr>
        <w:t xml:space="preserve"> nas negociações entre os atores com relação direta com as unidades. </w:t>
      </w:r>
      <w:r w:rsidR="00F16D46" w:rsidRPr="00F95BC7">
        <w:rPr>
          <w:rFonts w:ascii="Times New Roman" w:eastAsia="Times New Roman" w:hAnsi="Times New Roman" w:cs="Times New Roman"/>
          <w:sz w:val="24"/>
          <w:szCs w:val="24"/>
        </w:rPr>
        <w:t>O</w:t>
      </w:r>
      <w:r w:rsidRPr="00F95BC7">
        <w:rPr>
          <w:rFonts w:ascii="Times New Roman" w:eastAsia="Times New Roman" w:hAnsi="Times New Roman" w:cs="Times New Roman"/>
          <w:sz w:val="24"/>
          <w:szCs w:val="24"/>
        </w:rPr>
        <w:t xml:space="preserve"> papel do município (governo local) vai além da sua participação institucional em arenas públicas, devendo ser o viabilizador para participação da sociedade civil do município, já que os impactos ambientais, sociais e econômicos não são restritos a uma área demarcada, o entorno influ</w:t>
      </w:r>
      <w:r w:rsidR="009B4E19" w:rsidRPr="00F95BC7">
        <w:rPr>
          <w:rFonts w:ascii="Times New Roman" w:eastAsia="Times New Roman" w:hAnsi="Times New Roman" w:cs="Times New Roman"/>
          <w:sz w:val="24"/>
          <w:szCs w:val="24"/>
        </w:rPr>
        <w:t>e</w:t>
      </w:r>
      <w:r w:rsidRPr="00F95BC7">
        <w:rPr>
          <w:rFonts w:ascii="Times New Roman" w:eastAsia="Times New Roman" w:hAnsi="Times New Roman" w:cs="Times New Roman"/>
          <w:sz w:val="24"/>
          <w:szCs w:val="24"/>
        </w:rPr>
        <w:t xml:space="preserve">ncia e é influenciado. </w:t>
      </w:r>
    </w:p>
    <w:p w14:paraId="079B4234" w14:textId="4018E6B4" w:rsidR="003137C0" w:rsidRPr="00F95BC7" w:rsidRDefault="004F6FC7">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 ponto a ser exemplificado é o Conselho Gestor d</w:t>
      </w:r>
      <w:r w:rsidR="00877C29" w:rsidRPr="00F95BC7">
        <w:rPr>
          <w:rFonts w:ascii="Times New Roman" w:eastAsia="Times New Roman" w:hAnsi="Times New Roman" w:cs="Times New Roman"/>
          <w:sz w:val="24"/>
          <w:szCs w:val="24"/>
        </w:rPr>
        <w:t>o</w:t>
      </w:r>
      <w:r w:rsidRPr="00F95BC7">
        <w:rPr>
          <w:rFonts w:ascii="Times New Roman" w:eastAsia="Times New Roman" w:hAnsi="Times New Roman" w:cs="Times New Roman"/>
          <w:sz w:val="24"/>
          <w:szCs w:val="24"/>
        </w:rPr>
        <w:t xml:space="preserve"> Parque do Utinga, que não tem participação da prefeitura de Ananindeua no processo de debates em arena pública. No entanto, a atuação no município interfere diretamente para a sustentabilidade do espaço, pois mananciais que abastecem a RMB, localizados no Parque do Utinga, dependem de igarapés e córregos de Ananindeua</w:t>
      </w:r>
      <w:r w:rsidR="009F7F4A" w:rsidRPr="00F95BC7">
        <w:rPr>
          <w:rFonts w:ascii="Times New Roman" w:eastAsia="Times New Roman" w:hAnsi="Times New Roman" w:cs="Times New Roman"/>
          <w:sz w:val="24"/>
          <w:szCs w:val="24"/>
        </w:rPr>
        <w:t>, bem como de outros municípios</w:t>
      </w:r>
      <w:r w:rsidRPr="00F95BC7">
        <w:rPr>
          <w:rFonts w:ascii="Times New Roman" w:eastAsia="Times New Roman" w:hAnsi="Times New Roman" w:cs="Times New Roman"/>
          <w:sz w:val="24"/>
          <w:szCs w:val="24"/>
        </w:rPr>
        <w:t>. Inclusive</w:t>
      </w:r>
      <w:r w:rsidR="005B2272"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o Parque Antônio Danúbio, UC da gestão municipal, indica que o igarapé que desaguava no lago Bolonha, localizado no Parque do Utinga, agora não desagua mais. Ou seja, o ecossistema da região não considera limites geográficos municipais e as dificuldades de articulação entre as esferas de gestão prejudicam a sustentabilidade local. </w:t>
      </w:r>
    </w:p>
    <w:p w14:paraId="173533A7" w14:textId="6F0B438A" w:rsidR="00426A3B" w:rsidRPr="00F95BC7" w:rsidRDefault="004F6FC7" w:rsidP="00426A3B">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O município de Ananindeua, pela sua trajetória histórica e proximidade com a capital do estado, acaba sucumbido pelos interesses de Belém</w:t>
      </w:r>
      <w:r w:rsidR="00E87D63" w:rsidRPr="00F95BC7">
        <w:rPr>
          <w:rFonts w:ascii="Times New Roman" w:eastAsia="Times New Roman" w:hAnsi="Times New Roman" w:cs="Times New Roman"/>
          <w:sz w:val="24"/>
          <w:szCs w:val="24"/>
        </w:rPr>
        <w:t>, cujas a</w:t>
      </w:r>
      <w:r w:rsidRPr="00F95BC7">
        <w:rPr>
          <w:rFonts w:ascii="Times New Roman" w:eastAsia="Times New Roman" w:hAnsi="Times New Roman" w:cs="Times New Roman"/>
          <w:sz w:val="24"/>
          <w:szCs w:val="24"/>
        </w:rPr>
        <w:t>s ações promovidas no município influenciam diretamente toda a RMB.  Portanto, entende-se que as UC de Ananindeua são importantes para viabilizar a sustentabilidade do ecossistema da RMB, no entanto, não chega</w:t>
      </w:r>
      <w:r w:rsidR="0052080A" w:rsidRPr="00F95BC7">
        <w:rPr>
          <w:rFonts w:ascii="Times New Roman" w:eastAsia="Times New Roman" w:hAnsi="Times New Roman" w:cs="Times New Roman"/>
          <w:sz w:val="24"/>
          <w:szCs w:val="24"/>
        </w:rPr>
        <w:t>m</w:t>
      </w:r>
      <w:r w:rsidRPr="00F95BC7">
        <w:rPr>
          <w:rFonts w:ascii="Times New Roman" w:eastAsia="Times New Roman" w:hAnsi="Times New Roman" w:cs="Times New Roman"/>
          <w:sz w:val="24"/>
          <w:szCs w:val="24"/>
        </w:rPr>
        <w:t xml:space="preserve"> a viabilizar a negociação de interesses do município e dos diversos atores sociais locais, especialmente quanto às UC de gestão municipal.</w:t>
      </w:r>
    </w:p>
    <w:p w14:paraId="144EF897" w14:textId="7880EF12" w:rsidR="00AE6E01" w:rsidRPr="00F95BC7" w:rsidRDefault="003243AD">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Com o</w:t>
      </w:r>
      <w:r w:rsidR="00577244" w:rsidRPr="00F95BC7">
        <w:rPr>
          <w:rFonts w:ascii="Times New Roman" w:eastAsia="Times New Roman" w:hAnsi="Times New Roman" w:cs="Times New Roman"/>
          <w:sz w:val="24"/>
          <w:szCs w:val="24"/>
        </w:rPr>
        <w:t xml:space="preserve"> presente estudo</w:t>
      </w:r>
      <w:r w:rsidRPr="00F95BC7">
        <w:rPr>
          <w:rFonts w:ascii="Times New Roman" w:eastAsia="Times New Roman" w:hAnsi="Times New Roman" w:cs="Times New Roman"/>
          <w:sz w:val="24"/>
          <w:szCs w:val="24"/>
        </w:rPr>
        <w:t>,</w:t>
      </w:r>
      <w:r w:rsidR="00577244"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 xml:space="preserve">a </w:t>
      </w:r>
      <w:r w:rsidR="00577244" w:rsidRPr="00F95BC7">
        <w:rPr>
          <w:rFonts w:ascii="Times New Roman" w:eastAsia="Times New Roman" w:hAnsi="Times New Roman" w:cs="Times New Roman"/>
          <w:sz w:val="24"/>
          <w:szCs w:val="24"/>
        </w:rPr>
        <w:t>preten</w:t>
      </w:r>
      <w:r w:rsidRPr="00F95BC7">
        <w:rPr>
          <w:rFonts w:ascii="Times New Roman" w:eastAsia="Times New Roman" w:hAnsi="Times New Roman" w:cs="Times New Roman"/>
          <w:sz w:val="24"/>
          <w:szCs w:val="24"/>
        </w:rPr>
        <w:t>são foi de</w:t>
      </w:r>
      <w:r w:rsidR="00577244" w:rsidRPr="00F95BC7">
        <w:rPr>
          <w:rFonts w:ascii="Times New Roman" w:eastAsia="Times New Roman" w:hAnsi="Times New Roman" w:cs="Times New Roman"/>
          <w:sz w:val="24"/>
          <w:szCs w:val="24"/>
        </w:rPr>
        <w:t xml:space="preserve"> aprofundar estudos sobre a temática de governança municipal, ainda pouco </w:t>
      </w:r>
      <w:r w:rsidR="00A860D7" w:rsidRPr="00F95BC7">
        <w:rPr>
          <w:rFonts w:ascii="Times New Roman" w:eastAsia="Times New Roman" w:hAnsi="Times New Roman" w:cs="Times New Roman"/>
          <w:sz w:val="24"/>
          <w:szCs w:val="24"/>
        </w:rPr>
        <w:t>explorada</w:t>
      </w:r>
      <w:r w:rsidR="00577244" w:rsidRPr="00F95BC7">
        <w:rPr>
          <w:rFonts w:ascii="Times New Roman" w:eastAsia="Times New Roman" w:hAnsi="Times New Roman" w:cs="Times New Roman"/>
          <w:sz w:val="24"/>
          <w:szCs w:val="24"/>
        </w:rPr>
        <w:t>. Em pesquisa no repositório SPELL</w:t>
      </w:r>
      <w:r w:rsidR="00AE6E01" w:rsidRPr="00F95BC7">
        <w:rPr>
          <w:rFonts w:ascii="Times New Roman" w:eastAsia="Times New Roman" w:hAnsi="Times New Roman" w:cs="Times New Roman"/>
          <w:sz w:val="24"/>
          <w:szCs w:val="24"/>
        </w:rPr>
        <w:t xml:space="preserve"> (2022)</w:t>
      </w:r>
      <w:r w:rsidR="00577244" w:rsidRPr="00F95BC7">
        <w:rPr>
          <w:rFonts w:ascii="Times New Roman" w:eastAsia="Times New Roman" w:hAnsi="Times New Roman" w:cs="Times New Roman"/>
          <w:sz w:val="24"/>
          <w:szCs w:val="24"/>
        </w:rPr>
        <w:t>, quando utilizado</w:t>
      </w:r>
      <w:r w:rsidR="0027629D" w:rsidRPr="00F95BC7">
        <w:rPr>
          <w:rFonts w:ascii="Times New Roman" w:eastAsia="Times New Roman" w:hAnsi="Times New Roman" w:cs="Times New Roman"/>
          <w:sz w:val="24"/>
          <w:szCs w:val="24"/>
        </w:rPr>
        <w:t>s</w:t>
      </w:r>
      <w:r w:rsidR="00577244" w:rsidRPr="00F95BC7">
        <w:rPr>
          <w:rFonts w:ascii="Times New Roman" w:eastAsia="Times New Roman" w:hAnsi="Times New Roman" w:cs="Times New Roman"/>
          <w:sz w:val="24"/>
          <w:szCs w:val="24"/>
        </w:rPr>
        <w:t xml:space="preserve"> os descritores “governança” e “municipal” são apresentados apenas 20 artigos </w:t>
      </w:r>
      <w:r w:rsidR="00AE6E01" w:rsidRPr="00F95BC7">
        <w:rPr>
          <w:rFonts w:ascii="Times New Roman" w:eastAsia="Times New Roman" w:hAnsi="Times New Roman" w:cs="Times New Roman"/>
          <w:sz w:val="24"/>
          <w:szCs w:val="24"/>
        </w:rPr>
        <w:t xml:space="preserve">científicos </w:t>
      </w:r>
      <w:r w:rsidR="00577244" w:rsidRPr="00F95BC7">
        <w:rPr>
          <w:rFonts w:ascii="Times New Roman" w:eastAsia="Times New Roman" w:hAnsi="Times New Roman" w:cs="Times New Roman"/>
          <w:sz w:val="24"/>
          <w:szCs w:val="24"/>
        </w:rPr>
        <w:t xml:space="preserve">do período de </w:t>
      </w:r>
      <w:r w:rsidR="00577244" w:rsidRPr="00F95BC7">
        <w:rPr>
          <w:rFonts w:ascii="Times New Roman" w:eastAsia="Times New Roman" w:hAnsi="Times New Roman" w:cs="Times New Roman"/>
          <w:sz w:val="24"/>
          <w:szCs w:val="24"/>
        </w:rPr>
        <w:lastRenderedPageBreak/>
        <w:t>2005 a 2021</w:t>
      </w:r>
      <w:r w:rsidR="00A860D7" w:rsidRPr="00F95BC7">
        <w:rPr>
          <w:rFonts w:ascii="Times New Roman" w:eastAsia="Times New Roman" w:hAnsi="Times New Roman" w:cs="Times New Roman"/>
          <w:sz w:val="24"/>
          <w:szCs w:val="24"/>
        </w:rPr>
        <w:t xml:space="preserve">, sendo </w:t>
      </w:r>
      <w:r w:rsidR="00AE6E01" w:rsidRPr="00F95BC7">
        <w:rPr>
          <w:rFonts w:ascii="Times New Roman" w:eastAsia="Times New Roman" w:hAnsi="Times New Roman" w:cs="Times New Roman"/>
          <w:sz w:val="24"/>
          <w:szCs w:val="24"/>
        </w:rPr>
        <w:t xml:space="preserve">que nenhum </w:t>
      </w:r>
      <w:r w:rsidR="00A860D7" w:rsidRPr="00F95BC7">
        <w:rPr>
          <w:rFonts w:ascii="Times New Roman" w:eastAsia="Times New Roman" w:hAnsi="Times New Roman" w:cs="Times New Roman"/>
          <w:sz w:val="24"/>
          <w:szCs w:val="24"/>
        </w:rPr>
        <w:t xml:space="preserve">é relacionado a Unidades de Conservação. O que demonstra o </w:t>
      </w:r>
      <w:r w:rsidR="00832481" w:rsidRPr="00F95BC7">
        <w:rPr>
          <w:rFonts w:ascii="Times New Roman" w:eastAsia="Times New Roman" w:hAnsi="Times New Roman" w:cs="Times New Roman"/>
          <w:sz w:val="24"/>
          <w:szCs w:val="24"/>
        </w:rPr>
        <w:t>ineditismo</w:t>
      </w:r>
      <w:r w:rsidR="00A860D7" w:rsidRPr="00F95BC7">
        <w:rPr>
          <w:rFonts w:ascii="Times New Roman" w:eastAsia="Times New Roman" w:hAnsi="Times New Roman" w:cs="Times New Roman"/>
          <w:sz w:val="24"/>
          <w:szCs w:val="24"/>
        </w:rPr>
        <w:t xml:space="preserve"> do trabalho na correlação entre governança municipal e unidades de conservação. </w:t>
      </w:r>
    </w:p>
    <w:p w14:paraId="4FB9A884" w14:textId="7F49FEE4" w:rsidR="009F7F4A" w:rsidRPr="00F95BC7" w:rsidRDefault="00AE6E01" w:rsidP="006E3EAD">
      <w:pPr>
        <w:shd w:val="clear" w:color="auto" w:fill="FFFFFF" w:themeFill="background1"/>
        <w:spacing w:after="0" w:line="360" w:lineRule="auto"/>
        <w:ind w:firstLine="708"/>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Desta maneira</w:t>
      </w:r>
      <w:r w:rsidR="00A860D7" w:rsidRPr="00F95BC7">
        <w:rPr>
          <w:rFonts w:ascii="Times New Roman" w:eastAsia="Times New Roman" w:hAnsi="Times New Roman" w:cs="Times New Roman"/>
          <w:sz w:val="24"/>
          <w:szCs w:val="24"/>
        </w:rPr>
        <w:t>, cabe destacar a gama de possibilidades de estudos</w:t>
      </w:r>
      <w:r w:rsidR="002B4E24" w:rsidRPr="00F95BC7">
        <w:rPr>
          <w:rFonts w:ascii="Times New Roman" w:eastAsia="Times New Roman" w:hAnsi="Times New Roman" w:cs="Times New Roman"/>
          <w:sz w:val="24"/>
          <w:szCs w:val="24"/>
        </w:rPr>
        <w:t xml:space="preserve"> novos</w:t>
      </w:r>
      <w:r w:rsidR="00A860D7" w:rsidRPr="00F95BC7">
        <w:rPr>
          <w:rFonts w:ascii="Times New Roman" w:eastAsia="Times New Roman" w:hAnsi="Times New Roman" w:cs="Times New Roman"/>
          <w:sz w:val="24"/>
          <w:szCs w:val="24"/>
        </w:rPr>
        <w:t xml:space="preserve">, dentre as quais sugere-se que após o período pandêmico, sejam realizadas pesquisas </w:t>
      </w:r>
      <w:r w:rsidR="00A860D7" w:rsidRPr="00F95BC7">
        <w:rPr>
          <w:rFonts w:ascii="Times New Roman" w:eastAsia="Times New Roman" w:hAnsi="Times New Roman" w:cs="Times New Roman"/>
          <w:i/>
          <w:iCs/>
          <w:sz w:val="24"/>
          <w:szCs w:val="24"/>
        </w:rPr>
        <w:t>in loco</w:t>
      </w:r>
      <w:r w:rsidR="00A860D7" w:rsidRPr="00F95BC7">
        <w:rPr>
          <w:rFonts w:ascii="Times New Roman" w:eastAsia="Times New Roman" w:hAnsi="Times New Roman" w:cs="Times New Roman"/>
          <w:sz w:val="24"/>
          <w:szCs w:val="24"/>
        </w:rPr>
        <w:t xml:space="preserve"> nas reuniões dos conselhos</w:t>
      </w:r>
      <w:r w:rsidRPr="00F95BC7">
        <w:rPr>
          <w:rFonts w:ascii="Times New Roman" w:eastAsia="Times New Roman" w:hAnsi="Times New Roman" w:cs="Times New Roman"/>
          <w:sz w:val="24"/>
          <w:szCs w:val="24"/>
        </w:rPr>
        <w:t>, bem como</w:t>
      </w:r>
      <w:r w:rsidR="00A860D7" w:rsidRPr="00F95BC7">
        <w:rPr>
          <w:rFonts w:ascii="Times New Roman" w:eastAsia="Times New Roman" w:hAnsi="Times New Roman" w:cs="Times New Roman"/>
          <w:sz w:val="24"/>
          <w:szCs w:val="24"/>
        </w:rPr>
        <w:t xml:space="preserve"> entrevistas semiestruturadas com os representantes da sociedade civil, especialmente os ausentes nas reuniões, quando ocorrer. Além disso, cabe a ampliação das análises </w:t>
      </w:r>
      <w:r w:rsidRPr="00F95BC7">
        <w:rPr>
          <w:rFonts w:ascii="Times New Roman" w:eastAsia="Times New Roman" w:hAnsi="Times New Roman" w:cs="Times New Roman"/>
          <w:sz w:val="24"/>
          <w:szCs w:val="24"/>
        </w:rPr>
        <w:t>para</w:t>
      </w:r>
      <w:r w:rsidR="00A860D7" w:rsidRPr="00F95BC7">
        <w:rPr>
          <w:rFonts w:ascii="Times New Roman" w:eastAsia="Times New Roman" w:hAnsi="Times New Roman" w:cs="Times New Roman"/>
          <w:sz w:val="24"/>
          <w:szCs w:val="24"/>
        </w:rPr>
        <w:t xml:space="preserve"> outras UC do Brasil</w:t>
      </w:r>
      <w:r w:rsidRPr="00F95BC7">
        <w:rPr>
          <w:rFonts w:ascii="Times New Roman" w:eastAsia="Times New Roman" w:hAnsi="Times New Roman" w:cs="Times New Roman"/>
          <w:sz w:val="24"/>
          <w:szCs w:val="24"/>
        </w:rPr>
        <w:t>, a partir do uso da mesma metodologia aplicada</w:t>
      </w:r>
      <w:r w:rsidR="00A860D7" w:rsidRPr="00F95BC7">
        <w:rPr>
          <w:rFonts w:ascii="Times New Roman" w:eastAsia="Times New Roman" w:hAnsi="Times New Roman" w:cs="Times New Roman"/>
          <w:sz w:val="24"/>
          <w:szCs w:val="24"/>
        </w:rPr>
        <w:t xml:space="preserve">. </w:t>
      </w:r>
    </w:p>
    <w:p w14:paraId="50D6575B" w14:textId="77777777" w:rsidR="003137C0" w:rsidRPr="00F95BC7" w:rsidRDefault="004F6FC7">
      <w:pPr>
        <w:spacing w:after="0" w:line="360" w:lineRule="auto"/>
        <w:jc w:val="center"/>
        <w:rPr>
          <w:rFonts w:ascii="Times New Roman" w:eastAsia="Times New Roman" w:hAnsi="Times New Roman" w:cs="Times New Roman"/>
          <w:b/>
          <w:sz w:val="24"/>
          <w:szCs w:val="24"/>
        </w:rPr>
      </w:pPr>
      <w:r w:rsidRPr="00F95BC7">
        <w:rPr>
          <w:rFonts w:ascii="Times New Roman" w:eastAsia="Times New Roman" w:hAnsi="Times New Roman" w:cs="Times New Roman"/>
          <w:b/>
          <w:sz w:val="24"/>
          <w:szCs w:val="24"/>
        </w:rPr>
        <w:t>REFERÊNCIAS</w:t>
      </w:r>
    </w:p>
    <w:p w14:paraId="49E22C9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ALMEIDA, M. P. S. R.; BAHIA, M. C.; NELSON, S. P. Observação de aves no Refúgio de Vida Silvestre Metrópole da Amazônia: uma contribuição para a conservação ambiental da unidade e ao desenvolvimento turístico do Estado do Pará. </w:t>
      </w:r>
      <w:r w:rsidRPr="00F95BC7">
        <w:rPr>
          <w:rFonts w:ascii="Times New Roman" w:eastAsia="Times New Roman" w:hAnsi="Times New Roman" w:cs="Times New Roman"/>
          <w:b/>
          <w:sz w:val="24"/>
          <w:szCs w:val="24"/>
        </w:rPr>
        <w:t>Revista Brasileira de Ecoturismo</w:t>
      </w:r>
      <w:r w:rsidRPr="00F95BC7">
        <w:rPr>
          <w:rFonts w:ascii="Times New Roman" w:eastAsia="Times New Roman" w:hAnsi="Times New Roman" w:cs="Times New Roman"/>
          <w:sz w:val="24"/>
          <w:szCs w:val="24"/>
        </w:rPr>
        <w:t xml:space="preserve">, São Paulo, v. 9, n. 3, p. 544-574, ago./out. 2016. </w:t>
      </w:r>
    </w:p>
    <w:p w14:paraId="04D50089"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7A824848" w14:textId="77777777" w:rsidR="003137C0" w:rsidRPr="00F95BC7" w:rsidRDefault="004F6FC7">
      <w:pPr>
        <w:shd w:val="clear" w:color="auto" w:fill="FFFFFF"/>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ARAÚJO, M. N. F. de; SIMONIAN, L. T. L. Governança ambiental e turismo no Parque Nacional da Amazônia. </w:t>
      </w:r>
      <w:r w:rsidRPr="00F95BC7">
        <w:rPr>
          <w:rFonts w:ascii="Times New Roman" w:eastAsia="Times New Roman" w:hAnsi="Times New Roman" w:cs="Times New Roman"/>
          <w:b/>
          <w:sz w:val="24"/>
          <w:szCs w:val="24"/>
        </w:rPr>
        <w:t>Revista Brasileira de Ecoturismo</w:t>
      </w:r>
      <w:r w:rsidRPr="00F95BC7">
        <w:rPr>
          <w:rFonts w:ascii="Times New Roman" w:eastAsia="Times New Roman" w:hAnsi="Times New Roman" w:cs="Times New Roman"/>
          <w:sz w:val="24"/>
          <w:szCs w:val="24"/>
        </w:rPr>
        <w:t xml:space="preserve">, São Paulo, v. 9, n. 2, p. 229-249, mai./jul. 2016. Disponível em: </w:t>
      </w:r>
      <w:hyperlink r:id="rId16">
        <w:r w:rsidRPr="00F95BC7">
          <w:rPr>
            <w:rFonts w:ascii="Times New Roman" w:eastAsia="Times New Roman" w:hAnsi="Times New Roman" w:cs="Times New Roman"/>
            <w:sz w:val="24"/>
            <w:szCs w:val="24"/>
          </w:rPr>
          <w:t>https://periodicos.unifesp.br/index.php/ecoturismo/article/view/6503/4149</w:t>
        </w:r>
      </w:hyperlink>
      <w:r w:rsidRPr="00F95BC7">
        <w:rPr>
          <w:rFonts w:ascii="Times New Roman" w:eastAsia="Times New Roman" w:hAnsi="Times New Roman" w:cs="Times New Roman"/>
          <w:sz w:val="24"/>
          <w:szCs w:val="24"/>
        </w:rPr>
        <w:t>. Acesso em: 14 out. 2019.</w:t>
      </w:r>
    </w:p>
    <w:p w14:paraId="731BDB0E" w14:textId="77777777" w:rsidR="003137C0" w:rsidRPr="00F95BC7" w:rsidRDefault="003137C0">
      <w:pPr>
        <w:spacing w:after="0" w:line="240" w:lineRule="auto"/>
        <w:rPr>
          <w:rFonts w:ascii="Times New Roman" w:eastAsia="Times New Roman" w:hAnsi="Times New Roman" w:cs="Times New Roman"/>
          <w:sz w:val="24"/>
          <w:szCs w:val="24"/>
        </w:rPr>
      </w:pPr>
    </w:p>
    <w:p w14:paraId="0EAF8D51" w14:textId="2C4405FF"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BAQUERO, M.; BAQUERO, R. </w:t>
      </w:r>
      <w:hyperlink r:id="rId17">
        <w:r w:rsidRPr="00F95BC7">
          <w:rPr>
            <w:rFonts w:ascii="Times New Roman" w:eastAsia="Times New Roman" w:hAnsi="Times New Roman" w:cs="Times New Roman"/>
            <w:sz w:val="24"/>
            <w:szCs w:val="24"/>
          </w:rPr>
          <w:t>Trazendo o cidadão para a arena pública: Capital Social e empoderamento na produção de uma democracia social na América Latina.</w:t>
        </w:r>
      </w:hyperlink>
      <w:r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b/>
          <w:sz w:val="24"/>
          <w:szCs w:val="24"/>
        </w:rPr>
        <w:t>Revista do Desenvolvimento Regional (REDES).</w:t>
      </w:r>
      <w:r w:rsidRPr="00F95BC7">
        <w:rPr>
          <w:rFonts w:ascii="Times New Roman" w:eastAsia="Times New Roman" w:hAnsi="Times New Roman" w:cs="Times New Roman"/>
          <w:sz w:val="24"/>
          <w:szCs w:val="24"/>
        </w:rPr>
        <w:t xml:space="preserve"> Santa Cruz do Sul, v. 12, n. 1, p. 125-150, jan./abr. 2007. Disponível: </w:t>
      </w:r>
      <w:hyperlink r:id="rId18">
        <w:r w:rsidRPr="00F95BC7">
          <w:rPr>
            <w:rFonts w:ascii="Times New Roman" w:eastAsia="Times New Roman" w:hAnsi="Times New Roman" w:cs="Times New Roman"/>
            <w:sz w:val="24"/>
            <w:szCs w:val="24"/>
          </w:rPr>
          <w:t>http://dx.doi.org/10.17058/redes.v12i1.101</w:t>
        </w:r>
      </w:hyperlink>
      <w:r w:rsidRPr="00F95BC7">
        <w:rPr>
          <w:rFonts w:ascii="Times New Roman" w:eastAsia="Times New Roman" w:hAnsi="Times New Roman" w:cs="Times New Roman"/>
          <w:sz w:val="24"/>
          <w:szCs w:val="24"/>
        </w:rPr>
        <w:t>. Acesso em: 18 nov.</w:t>
      </w:r>
      <w:r w:rsidR="007E33CB"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2020.</w:t>
      </w:r>
    </w:p>
    <w:p w14:paraId="7FCD1F2F" w14:textId="77777777" w:rsidR="003137C0" w:rsidRPr="00F95BC7" w:rsidRDefault="003137C0">
      <w:pPr>
        <w:spacing w:after="0" w:line="240" w:lineRule="auto"/>
        <w:rPr>
          <w:rFonts w:ascii="Times New Roman" w:eastAsia="Times New Roman" w:hAnsi="Times New Roman" w:cs="Times New Roman"/>
          <w:sz w:val="24"/>
          <w:szCs w:val="24"/>
        </w:rPr>
      </w:pPr>
    </w:p>
    <w:p w14:paraId="7B32483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BASTOS, R. Z. </w:t>
      </w:r>
      <w:r w:rsidRPr="00F95BC7">
        <w:rPr>
          <w:rFonts w:ascii="Times New Roman" w:eastAsia="Times New Roman" w:hAnsi="Times New Roman" w:cs="Times New Roman"/>
          <w:b/>
          <w:bCs/>
          <w:sz w:val="24"/>
          <w:szCs w:val="24"/>
        </w:rPr>
        <w:t>Relato oral sobre o Parque Antônio Danúbio e Museu do Seringal</w:t>
      </w:r>
      <w:r w:rsidRPr="00F95BC7">
        <w:rPr>
          <w:rFonts w:ascii="Times New Roman" w:eastAsia="Times New Roman" w:hAnsi="Times New Roman" w:cs="Times New Roman"/>
          <w:sz w:val="24"/>
          <w:szCs w:val="24"/>
        </w:rPr>
        <w:t xml:space="preserve">. [Entrevista cedida a] Fernanda G. F. P. dos Santos e Ligia T. L. Simonian. Belém, 14 maio 2019. Gravação no dispositivo TASCAN DR-05 Recorder. </w:t>
      </w:r>
    </w:p>
    <w:p w14:paraId="5308F617" w14:textId="77777777" w:rsidR="003137C0" w:rsidRPr="00F95BC7" w:rsidRDefault="003137C0">
      <w:pPr>
        <w:spacing w:after="0" w:line="240" w:lineRule="auto"/>
        <w:rPr>
          <w:rFonts w:ascii="Times New Roman" w:eastAsia="Times New Roman" w:hAnsi="Times New Roman" w:cs="Times New Roman"/>
          <w:sz w:val="24"/>
          <w:szCs w:val="24"/>
        </w:rPr>
      </w:pPr>
    </w:p>
    <w:p w14:paraId="19D5AC4C"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BRASIL. </w:t>
      </w:r>
      <w:r w:rsidRPr="00F95BC7">
        <w:rPr>
          <w:rFonts w:ascii="Times New Roman" w:eastAsia="Times New Roman" w:hAnsi="Times New Roman" w:cs="Times New Roman"/>
          <w:b/>
          <w:sz w:val="24"/>
          <w:szCs w:val="24"/>
        </w:rPr>
        <w:t>Sistema nacional de unidades de conservação (SNUC)</w:t>
      </w:r>
      <w:r w:rsidRPr="00F95BC7">
        <w:rPr>
          <w:rFonts w:ascii="Times New Roman" w:eastAsia="Times New Roman" w:hAnsi="Times New Roman" w:cs="Times New Roman"/>
          <w:sz w:val="24"/>
          <w:szCs w:val="24"/>
        </w:rPr>
        <w:t>: texto da Lei nº 9.985 de 18 de julho de 2000 e vetos da presidência da República ao PL aprovado pelo Congresso Nacional. 2ª Edição ampliada. São Paulo: Conselho Nacional da Reserva da Biosfera da Mata Atlântica, 2004. 76 p.</w:t>
      </w:r>
    </w:p>
    <w:p w14:paraId="353F8E37" w14:textId="77777777" w:rsidR="003137C0" w:rsidRPr="00F95BC7" w:rsidRDefault="003137C0">
      <w:pPr>
        <w:spacing w:after="0" w:line="240" w:lineRule="auto"/>
        <w:rPr>
          <w:rFonts w:ascii="Times New Roman" w:eastAsia="Times New Roman" w:hAnsi="Times New Roman" w:cs="Times New Roman"/>
          <w:sz w:val="24"/>
          <w:szCs w:val="24"/>
        </w:rPr>
      </w:pPr>
    </w:p>
    <w:p w14:paraId="623FAD12"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CABRAL, C. L. Geografia da “área protegida”: uma abordagem sobre os efeitos da expansão urbana na qualidade de vida da APA Metropolitana de Belém-PA (1994-2009). </w:t>
      </w:r>
      <w:r w:rsidRPr="00F95BC7">
        <w:rPr>
          <w:rFonts w:ascii="Times New Roman" w:eastAsia="Times New Roman" w:hAnsi="Times New Roman" w:cs="Times New Roman"/>
          <w:b/>
          <w:sz w:val="24"/>
          <w:szCs w:val="24"/>
        </w:rPr>
        <w:t>Paper do NAEA</w:t>
      </w:r>
      <w:r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b/>
          <w:sz w:val="24"/>
          <w:szCs w:val="24"/>
        </w:rPr>
        <w:t>326</w:t>
      </w:r>
      <w:r w:rsidRPr="00F95BC7">
        <w:rPr>
          <w:rFonts w:ascii="Times New Roman" w:eastAsia="Times New Roman" w:hAnsi="Times New Roman" w:cs="Times New Roman"/>
          <w:sz w:val="24"/>
          <w:szCs w:val="24"/>
        </w:rPr>
        <w:t xml:space="preserve">, julho de 2014. Disponível em: </w:t>
      </w:r>
      <w:hyperlink r:id="rId19">
        <w:r w:rsidRPr="00F95BC7">
          <w:rPr>
            <w:rFonts w:ascii="Times New Roman" w:eastAsia="Times New Roman" w:hAnsi="Times New Roman" w:cs="Times New Roman"/>
            <w:sz w:val="24"/>
            <w:szCs w:val="24"/>
          </w:rPr>
          <w:t>http://www.naea.ufpa.br/naea/novosite/paper/220</w:t>
        </w:r>
      </w:hyperlink>
      <w:r w:rsidRPr="00F95BC7">
        <w:rPr>
          <w:rFonts w:ascii="Times New Roman" w:eastAsia="Times New Roman" w:hAnsi="Times New Roman" w:cs="Times New Roman"/>
          <w:sz w:val="24"/>
          <w:szCs w:val="24"/>
        </w:rPr>
        <w:t>.  Acesso em: 17 nov. 2020.</w:t>
      </w:r>
    </w:p>
    <w:p w14:paraId="3FDF6441" w14:textId="77777777" w:rsidR="003137C0" w:rsidRPr="00F95BC7" w:rsidRDefault="003137C0">
      <w:pPr>
        <w:spacing w:after="0" w:line="240" w:lineRule="auto"/>
        <w:rPr>
          <w:rFonts w:ascii="Times New Roman" w:eastAsia="Times New Roman" w:hAnsi="Times New Roman" w:cs="Times New Roman"/>
          <w:sz w:val="24"/>
          <w:szCs w:val="24"/>
        </w:rPr>
      </w:pPr>
    </w:p>
    <w:p w14:paraId="7815EDD9"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CAMPOS, C. E. S.; OLIVEIRA, L. S.; MONTE, E. D. </w:t>
      </w:r>
      <w:r w:rsidRPr="00F95BC7">
        <w:rPr>
          <w:rFonts w:ascii="Times New Roman" w:eastAsia="Times New Roman" w:hAnsi="Times New Roman" w:cs="Times New Roman"/>
          <w:b/>
          <w:sz w:val="24"/>
          <w:szCs w:val="24"/>
        </w:rPr>
        <w:t>A construção do lazer e a defesa do meio ambiente no Museu Parque Seringal</w:t>
      </w:r>
      <w:r w:rsidRPr="00F95BC7">
        <w:rPr>
          <w:rFonts w:ascii="Times New Roman" w:eastAsia="Times New Roman" w:hAnsi="Times New Roman" w:cs="Times New Roman"/>
          <w:sz w:val="24"/>
          <w:szCs w:val="24"/>
        </w:rPr>
        <w:t xml:space="preserve">. 2017. Disponível em: </w:t>
      </w:r>
      <w:hyperlink r:id="rId20">
        <w:r w:rsidRPr="00F95BC7">
          <w:rPr>
            <w:rFonts w:ascii="Times New Roman" w:eastAsia="Times New Roman" w:hAnsi="Times New Roman" w:cs="Times New Roman"/>
            <w:sz w:val="24"/>
            <w:szCs w:val="24"/>
          </w:rPr>
          <w:t>https://bibc3.files.wordpress.com/2016/03/campos-carlos-eduardo-da-s-oliveira-leonardo-souza-de-a-construc3a7c3a3o-do-lazer-e-a-defesa-do-meio-ambiente-no-museu-parque-seringal-2017.pdf</w:t>
        </w:r>
      </w:hyperlink>
      <w:r w:rsidRPr="00F95BC7">
        <w:rPr>
          <w:rFonts w:ascii="Times New Roman" w:eastAsia="Times New Roman" w:hAnsi="Times New Roman" w:cs="Times New Roman"/>
          <w:sz w:val="24"/>
          <w:szCs w:val="24"/>
          <w:u w:val="single"/>
        </w:rPr>
        <w:t>.</w:t>
      </w:r>
      <w:r w:rsidRPr="00F95BC7">
        <w:rPr>
          <w:rFonts w:ascii="Times New Roman" w:eastAsia="Times New Roman" w:hAnsi="Times New Roman" w:cs="Times New Roman"/>
          <w:sz w:val="24"/>
          <w:szCs w:val="24"/>
        </w:rPr>
        <w:t xml:space="preserve"> Acesso em: 25 fev. 2019.</w:t>
      </w:r>
    </w:p>
    <w:p w14:paraId="7C528EAC"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06384B9B"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lastRenderedPageBreak/>
        <w:t xml:space="preserve">CASTRO, I. Aprendizados com conselhos gestores das unidades de conservação no Programa ARPA. Programa Áreas Protegidas da Amazônia e Cooperação Técnica Alemã – GTZ. </w:t>
      </w:r>
      <w:r w:rsidRPr="00F95BC7">
        <w:rPr>
          <w:rFonts w:ascii="Times New Roman" w:eastAsia="Times New Roman" w:hAnsi="Times New Roman" w:cs="Times New Roman"/>
          <w:b/>
          <w:bCs/>
          <w:sz w:val="24"/>
          <w:szCs w:val="24"/>
        </w:rPr>
        <w:t>Série Cadernos Arpa</w:t>
      </w:r>
      <w:r w:rsidRPr="00F95BC7">
        <w:rPr>
          <w:rFonts w:ascii="Times New Roman" w:eastAsia="Times New Roman" w:hAnsi="Times New Roman" w:cs="Times New Roman"/>
          <w:sz w:val="24"/>
          <w:szCs w:val="24"/>
        </w:rPr>
        <w:t>. Número 2. Brasília: MMA. 2009. 56 p.</w:t>
      </w:r>
    </w:p>
    <w:p w14:paraId="38B93B2C"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351FD3DD" w14:textId="77777777" w:rsidR="003137C0" w:rsidRPr="00F95BC7" w:rsidRDefault="004F6FC7">
      <w:pPr>
        <w:shd w:val="clear" w:color="auto" w:fill="FFFFFF"/>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CASTRO, M. C. S.; NUNES, J. R.; CRUZ, S. H. R.; MENDES, F. L. S. Análise do uso turístico da Unidade de Conservação Refúgio de Vida Silvestre Metrópole da Amazônia (PA). </w:t>
      </w:r>
      <w:r w:rsidRPr="00F95BC7">
        <w:rPr>
          <w:rFonts w:ascii="Times New Roman" w:eastAsia="Times New Roman" w:hAnsi="Times New Roman" w:cs="Times New Roman"/>
          <w:b/>
          <w:sz w:val="24"/>
          <w:szCs w:val="24"/>
        </w:rPr>
        <w:t>Revista Brasileira de Ecoturismo</w:t>
      </w:r>
      <w:r w:rsidRPr="00F95BC7">
        <w:rPr>
          <w:rFonts w:ascii="Times New Roman" w:eastAsia="Times New Roman" w:hAnsi="Times New Roman" w:cs="Times New Roman"/>
          <w:sz w:val="24"/>
          <w:szCs w:val="24"/>
        </w:rPr>
        <w:t xml:space="preserve">, São Paulo, v. 13, n. 2, mai.-jul. 2020, p.277-292. Disponível em: </w:t>
      </w:r>
      <w:hyperlink r:id="rId21">
        <w:r w:rsidRPr="00F95BC7">
          <w:rPr>
            <w:rFonts w:ascii="Times New Roman" w:eastAsia="Times New Roman" w:hAnsi="Times New Roman" w:cs="Times New Roman"/>
            <w:sz w:val="24"/>
            <w:szCs w:val="24"/>
          </w:rPr>
          <w:t>https://periodicos.unifesp.br/index.php/ecoturismo/article/view/6760/7720</w:t>
        </w:r>
      </w:hyperlink>
      <w:r w:rsidRPr="00F95BC7">
        <w:rPr>
          <w:rFonts w:ascii="Times New Roman" w:eastAsia="Times New Roman" w:hAnsi="Times New Roman" w:cs="Times New Roman"/>
          <w:sz w:val="24"/>
          <w:szCs w:val="24"/>
        </w:rPr>
        <w:t>. Acesso em: 17 nov. 2020.</w:t>
      </w:r>
    </w:p>
    <w:p w14:paraId="210F86B3" w14:textId="77777777" w:rsidR="003137C0" w:rsidRPr="00F95BC7" w:rsidRDefault="003137C0">
      <w:pPr>
        <w:spacing w:after="0" w:line="240" w:lineRule="auto"/>
        <w:rPr>
          <w:rFonts w:ascii="Times New Roman" w:eastAsia="Times New Roman" w:hAnsi="Times New Roman" w:cs="Times New Roman"/>
          <w:sz w:val="24"/>
          <w:szCs w:val="24"/>
        </w:rPr>
      </w:pPr>
    </w:p>
    <w:p w14:paraId="3EC844A5" w14:textId="09548ACA"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CASULA, M. Quem governa na governança (local)? Reflexões teóricas e evidências empíricas. </w:t>
      </w:r>
      <w:r w:rsidRPr="00F95BC7">
        <w:rPr>
          <w:rFonts w:ascii="Times New Roman" w:eastAsia="Times New Roman" w:hAnsi="Times New Roman" w:cs="Times New Roman"/>
          <w:b/>
          <w:sz w:val="24"/>
          <w:szCs w:val="24"/>
        </w:rPr>
        <w:t>Revista de Administração Pública</w:t>
      </w:r>
      <w:r w:rsidRPr="00F95BC7">
        <w:rPr>
          <w:rFonts w:ascii="Times New Roman" w:eastAsia="Times New Roman" w:hAnsi="Times New Roman" w:cs="Times New Roman"/>
          <w:sz w:val="24"/>
          <w:szCs w:val="24"/>
        </w:rPr>
        <w:t xml:space="preserve">. Rio de Janeiro, </w:t>
      </w:r>
      <w:proofErr w:type="spellStart"/>
      <w:r w:rsidRPr="00F95BC7">
        <w:rPr>
          <w:rFonts w:ascii="Times New Roman" w:eastAsia="Times New Roman" w:hAnsi="Times New Roman" w:cs="Times New Roman"/>
          <w:sz w:val="24"/>
          <w:szCs w:val="24"/>
        </w:rPr>
        <w:t>nov.-dez</w:t>
      </w:r>
      <w:proofErr w:type="spellEnd"/>
      <w:r w:rsidRPr="00F95BC7">
        <w:rPr>
          <w:rFonts w:ascii="Times New Roman" w:eastAsia="Times New Roman" w:hAnsi="Times New Roman" w:cs="Times New Roman"/>
          <w:sz w:val="24"/>
          <w:szCs w:val="24"/>
        </w:rPr>
        <w:t>. 2017.</w:t>
      </w:r>
      <w:r w:rsidR="009F7F4A"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 xml:space="preserve">Disponível em: </w:t>
      </w:r>
      <w:hyperlink r:id="rId22">
        <w:r w:rsidRPr="00F95BC7">
          <w:rPr>
            <w:rFonts w:ascii="Times New Roman" w:eastAsia="Times New Roman" w:hAnsi="Times New Roman" w:cs="Times New Roman"/>
            <w:sz w:val="24"/>
            <w:szCs w:val="24"/>
          </w:rPr>
          <w:t>http://dx.doi.org/10.1590/0034-7612161618</w:t>
        </w:r>
      </w:hyperlink>
      <w:r w:rsidRPr="00F95BC7">
        <w:rPr>
          <w:rFonts w:ascii="Times New Roman" w:eastAsia="Times New Roman" w:hAnsi="Times New Roman" w:cs="Times New Roman"/>
          <w:sz w:val="24"/>
          <w:szCs w:val="24"/>
        </w:rPr>
        <w:t>. Acesso: 28/11/2020.</w:t>
      </w:r>
    </w:p>
    <w:p w14:paraId="23FE3533" w14:textId="77777777" w:rsidR="003137C0" w:rsidRPr="00F95BC7" w:rsidRDefault="003137C0">
      <w:pPr>
        <w:spacing w:after="0" w:line="240" w:lineRule="auto"/>
        <w:rPr>
          <w:rFonts w:ascii="Times New Roman" w:eastAsia="Times New Roman" w:hAnsi="Times New Roman" w:cs="Times New Roman"/>
          <w:sz w:val="24"/>
          <w:szCs w:val="24"/>
        </w:rPr>
      </w:pPr>
    </w:p>
    <w:p w14:paraId="6A4BB566"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CEFAÏ, D. Públicos, problemas públicos, arenas públicas: o que nos ensina o pragmatismo (Parte 1). </w:t>
      </w:r>
      <w:r w:rsidRPr="00F95BC7">
        <w:rPr>
          <w:rFonts w:ascii="Times New Roman" w:eastAsia="Times New Roman" w:hAnsi="Times New Roman" w:cs="Times New Roman"/>
          <w:b/>
          <w:bCs/>
          <w:sz w:val="24"/>
          <w:szCs w:val="24"/>
        </w:rPr>
        <w:t>Novos estudos</w:t>
      </w:r>
      <w:r w:rsidRPr="00F95BC7">
        <w:rPr>
          <w:rFonts w:ascii="Times New Roman" w:eastAsia="Times New Roman" w:hAnsi="Times New Roman" w:cs="Times New Roman"/>
          <w:sz w:val="24"/>
          <w:szCs w:val="24"/>
        </w:rPr>
        <w:t xml:space="preserve">. São Paulo, v. 36, n. 1, p. 187-213, março/2017. Tradução de Rosa Freire d’Aguiar. Disponível em: </w:t>
      </w:r>
      <w:hyperlink r:id="rId23">
        <w:r w:rsidRPr="00F95BC7">
          <w:rPr>
            <w:rFonts w:ascii="Times New Roman" w:eastAsia="Times New Roman" w:hAnsi="Times New Roman" w:cs="Times New Roman"/>
            <w:sz w:val="24"/>
            <w:szCs w:val="24"/>
          </w:rPr>
          <w:t>09_cefai_107_p186a213.indd (scielo.br)</w:t>
        </w:r>
      </w:hyperlink>
      <w:r w:rsidRPr="00F95BC7">
        <w:rPr>
          <w:rFonts w:ascii="Times New Roman" w:eastAsia="Times New Roman" w:hAnsi="Times New Roman" w:cs="Times New Roman"/>
          <w:sz w:val="24"/>
          <w:szCs w:val="24"/>
        </w:rPr>
        <w:t>. Acesso em: 18 nov.2020.</w:t>
      </w:r>
    </w:p>
    <w:p w14:paraId="757AFC05" w14:textId="77777777" w:rsidR="003137C0" w:rsidRPr="00F95BC7" w:rsidRDefault="003137C0">
      <w:pPr>
        <w:spacing w:after="0" w:line="240" w:lineRule="auto"/>
        <w:rPr>
          <w:rFonts w:ascii="Times New Roman" w:eastAsia="Times New Roman" w:hAnsi="Times New Roman" w:cs="Times New Roman"/>
          <w:sz w:val="24"/>
          <w:szCs w:val="24"/>
        </w:rPr>
      </w:pPr>
    </w:p>
    <w:p w14:paraId="0A233039"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Públicos, problemas públicos, arenas públicas: o que nos ensina o pragmatismo (Parte 2). </w:t>
      </w:r>
      <w:r w:rsidRPr="00F95BC7">
        <w:rPr>
          <w:rFonts w:ascii="Times New Roman" w:eastAsia="Times New Roman" w:hAnsi="Times New Roman" w:cs="Times New Roman"/>
          <w:b/>
          <w:bCs/>
          <w:sz w:val="24"/>
          <w:szCs w:val="24"/>
        </w:rPr>
        <w:t>Novos estudos</w:t>
      </w:r>
      <w:r w:rsidRPr="00F95BC7">
        <w:rPr>
          <w:rFonts w:ascii="Times New Roman" w:eastAsia="Times New Roman" w:hAnsi="Times New Roman" w:cs="Times New Roman"/>
          <w:sz w:val="24"/>
          <w:szCs w:val="24"/>
        </w:rPr>
        <w:t xml:space="preserve">. São Paulo, v. 36, n. 2, p. 129-142, julho/2017. Tradução de Rosa Freire d’Aguiar. Disponível em: </w:t>
      </w:r>
      <w:hyperlink r:id="rId24">
        <w:r w:rsidRPr="00F95BC7">
          <w:rPr>
            <w:rFonts w:ascii="Times New Roman" w:eastAsia="Times New Roman" w:hAnsi="Times New Roman" w:cs="Times New Roman"/>
            <w:sz w:val="24"/>
            <w:szCs w:val="24"/>
          </w:rPr>
          <w:t>09_cefai_107_p186a213.indd (scielo.br)</w:t>
        </w:r>
      </w:hyperlink>
      <w:r w:rsidRPr="00F95BC7">
        <w:rPr>
          <w:rFonts w:ascii="Times New Roman" w:eastAsia="Times New Roman" w:hAnsi="Times New Roman" w:cs="Times New Roman"/>
          <w:sz w:val="24"/>
          <w:szCs w:val="24"/>
        </w:rPr>
        <w:t>. Acesso em: 18 nov.2020.</w:t>
      </w:r>
    </w:p>
    <w:p w14:paraId="02FDBD79"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5B5A785D" w14:textId="77777777" w:rsidR="003137C0" w:rsidRPr="00F95BC7" w:rsidRDefault="004F6FC7">
      <w:pPr>
        <w:shd w:val="clear" w:color="auto" w:fill="FFFFFF"/>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CKAGNAZAROFF, I. B. Reflexões sobre estratégias de governança local. </w:t>
      </w:r>
      <w:r w:rsidRPr="00F95BC7">
        <w:rPr>
          <w:rFonts w:ascii="Times New Roman" w:eastAsia="Times New Roman" w:hAnsi="Times New Roman" w:cs="Times New Roman"/>
          <w:b/>
          <w:sz w:val="24"/>
          <w:szCs w:val="24"/>
        </w:rPr>
        <w:t>Revista Eletrônica Gestão e Sociedade (GES)</w:t>
      </w:r>
      <w:r w:rsidRPr="00F95BC7">
        <w:rPr>
          <w:rFonts w:ascii="Times New Roman" w:eastAsia="Times New Roman" w:hAnsi="Times New Roman" w:cs="Times New Roman"/>
          <w:sz w:val="24"/>
          <w:szCs w:val="24"/>
        </w:rPr>
        <w:t xml:space="preserve">. CEPEAD/FACE/UFMG, v. 3, n. 5., jan./jun. 2009. Disponível em: </w:t>
      </w:r>
      <w:hyperlink r:id="rId25">
        <w:r w:rsidRPr="00F95BC7">
          <w:rPr>
            <w:rFonts w:ascii="Times New Roman" w:eastAsia="Times New Roman" w:hAnsi="Times New Roman" w:cs="Times New Roman"/>
            <w:sz w:val="24"/>
            <w:szCs w:val="24"/>
          </w:rPr>
          <w:t xml:space="preserve"> (gestaoesociedade.org)</w:t>
        </w:r>
      </w:hyperlink>
      <w:r w:rsidRPr="00F95BC7">
        <w:rPr>
          <w:rFonts w:ascii="Times New Roman" w:eastAsia="Times New Roman" w:hAnsi="Times New Roman" w:cs="Times New Roman"/>
          <w:sz w:val="24"/>
          <w:szCs w:val="24"/>
        </w:rPr>
        <w:t>. Acesso em: 28 nov. 2020.</w:t>
      </w:r>
    </w:p>
    <w:p w14:paraId="38C86479" w14:textId="77777777" w:rsidR="003137C0" w:rsidRPr="00F95BC7" w:rsidRDefault="003137C0">
      <w:pPr>
        <w:spacing w:after="0" w:line="240" w:lineRule="auto"/>
        <w:rPr>
          <w:rFonts w:ascii="Times New Roman" w:eastAsia="Times New Roman" w:hAnsi="Times New Roman" w:cs="Times New Roman"/>
          <w:sz w:val="24"/>
          <w:szCs w:val="24"/>
        </w:rPr>
      </w:pPr>
    </w:p>
    <w:p w14:paraId="7AC35AE2"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CORRALO, G. </w:t>
      </w:r>
      <w:proofErr w:type="spellStart"/>
      <w:r w:rsidRPr="00F95BC7">
        <w:rPr>
          <w:rFonts w:ascii="Times New Roman" w:eastAsia="Times New Roman" w:hAnsi="Times New Roman" w:cs="Times New Roman"/>
          <w:sz w:val="24"/>
          <w:szCs w:val="24"/>
        </w:rPr>
        <w:t>da</w:t>
      </w:r>
      <w:proofErr w:type="spellEnd"/>
      <w:r w:rsidRPr="00F95BC7">
        <w:rPr>
          <w:rFonts w:ascii="Times New Roman" w:eastAsia="Times New Roman" w:hAnsi="Times New Roman" w:cs="Times New Roman"/>
          <w:sz w:val="24"/>
          <w:szCs w:val="24"/>
        </w:rPr>
        <w:t xml:space="preserve"> S. A boa governança local e a atividade econômica: o poder municipal como indutor do desenvolvimento sustentável e da justiça social. </w:t>
      </w:r>
      <w:r w:rsidRPr="00F95BC7">
        <w:rPr>
          <w:rFonts w:ascii="Times New Roman" w:eastAsia="Times New Roman" w:hAnsi="Times New Roman" w:cs="Times New Roman"/>
          <w:b/>
          <w:sz w:val="24"/>
          <w:szCs w:val="24"/>
        </w:rPr>
        <w:t>Revista de Direito</w:t>
      </w:r>
      <w:r w:rsidRPr="00F95BC7">
        <w:rPr>
          <w:rFonts w:ascii="Times New Roman" w:eastAsia="Times New Roman" w:hAnsi="Times New Roman" w:cs="Times New Roman"/>
          <w:sz w:val="24"/>
          <w:szCs w:val="24"/>
        </w:rPr>
        <w:t>, n. 15, p. 73-97, 2014.</w:t>
      </w:r>
    </w:p>
    <w:p w14:paraId="338283A4" w14:textId="77777777" w:rsidR="003137C0" w:rsidRPr="00F95BC7" w:rsidRDefault="003137C0">
      <w:pPr>
        <w:spacing w:after="0" w:line="240" w:lineRule="auto"/>
        <w:rPr>
          <w:rFonts w:ascii="Times New Roman" w:eastAsia="Times New Roman" w:hAnsi="Times New Roman" w:cs="Times New Roman"/>
          <w:sz w:val="24"/>
          <w:szCs w:val="24"/>
        </w:rPr>
      </w:pPr>
    </w:p>
    <w:p w14:paraId="3101080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GIL, A. C. </w:t>
      </w:r>
      <w:r w:rsidRPr="00F95BC7">
        <w:rPr>
          <w:rFonts w:ascii="Times New Roman" w:eastAsia="Times New Roman" w:hAnsi="Times New Roman" w:cs="Times New Roman"/>
          <w:b/>
          <w:bCs/>
          <w:sz w:val="24"/>
          <w:szCs w:val="24"/>
        </w:rPr>
        <w:t>Como elaborar projetos de pesquisa</w:t>
      </w:r>
      <w:r w:rsidRPr="00F95BC7">
        <w:rPr>
          <w:rFonts w:ascii="Times New Roman" w:eastAsia="Times New Roman" w:hAnsi="Times New Roman" w:cs="Times New Roman"/>
          <w:sz w:val="24"/>
          <w:szCs w:val="24"/>
        </w:rPr>
        <w:t>. 6ª Ed. São Paulo: Atlas, 2019.</w:t>
      </w:r>
    </w:p>
    <w:p w14:paraId="0F9D4857" w14:textId="77777777" w:rsidR="003137C0" w:rsidRPr="00F95BC7" w:rsidRDefault="003137C0">
      <w:pPr>
        <w:spacing w:after="0" w:line="240" w:lineRule="auto"/>
        <w:rPr>
          <w:rFonts w:ascii="Times New Roman" w:eastAsia="Times New Roman" w:hAnsi="Times New Roman" w:cs="Times New Roman"/>
          <w:sz w:val="24"/>
          <w:szCs w:val="24"/>
        </w:rPr>
      </w:pPr>
    </w:p>
    <w:p w14:paraId="1FECDEA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GRIN, E. J.; ABRUCIO, F. L. </w:t>
      </w:r>
      <w:r w:rsidRPr="00F95BC7">
        <w:rPr>
          <w:rFonts w:ascii="Times New Roman" w:eastAsia="Times New Roman" w:hAnsi="Times New Roman" w:cs="Times New Roman"/>
          <w:b/>
          <w:sz w:val="24"/>
          <w:szCs w:val="24"/>
        </w:rPr>
        <w:t>Governos locais</w:t>
      </w:r>
      <w:r w:rsidRPr="00F95BC7">
        <w:rPr>
          <w:rFonts w:ascii="Times New Roman" w:eastAsia="Times New Roman" w:hAnsi="Times New Roman" w:cs="Times New Roman"/>
          <w:sz w:val="24"/>
          <w:szCs w:val="24"/>
        </w:rPr>
        <w:t xml:space="preserve">: uma leitura introdutória. Coleção governos e políticas públicas. Brasília (DF): ENAP, 2019. </w:t>
      </w:r>
    </w:p>
    <w:p w14:paraId="5D25F36C" w14:textId="77777777" w:rsidR="003137C0" w:rsidRPr="00F95BC7" w:rsidRDefault="003137C0">
      <w:pPr>
        <w:spacing w:after="0" w:line="240" w:lineRule="auto"/>
        <w:rPr>
          <w:rFonts w:ascii="Times New Roman" w:eastAsia="Times New Roman" w:hAnsi="Times New Roman" w:cs="Times New Roman"/>
          <w:sz w:val="24"/>
          <w:szCs w:val="24"/>
        </w:rPr>
      </w:pPr>
    </w:p>
    <w:p w14:paraId="13F858C5" w14:textId="18607959"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HENDERSON, B. L. R.; DIAS. R. M. G; PONTES, A. N; CERQUEIRA, R. M. Valoração Ambiental </w:t>
      </w:r>
      <w:r w:rsidR="00F4273F" w:rsidRPr="00F95BC7">
        <w:rPr>
          <w:rFonts w:ascii="Times New Roman" w:eastAsia="Times New Roman" w:hAnsi="Times New Roman" w:cs="Times New Roman"/>
          <w:sz w:val="24"/>
          <w:szCs w:val="24"/>
        </w:rPr>
        <w:t>d</w:t>
      </w:r>
      <w:r w:rsidRPr="00F95BC7">
        <w:rPr>
          <w:rFonts w:ascii="Times New Roman" w:eastAsia="Times New Roman" w:hAnsi="Times New Roman" w:cs="Times New Roman"/>
          <w:sz w:val="24"/>
          <w:szCs w:val="24"/>
        </w:rPr>
        <w:t xml:space="preserve">o Parque Estadual </w:t>
      </w:r>
      <w:r w:rsidR="00F4273F" w:rsidRPr="00F95BC7">
        <w:rPr>
          <w:rFonts w:ascii="Times New Roman" w:eastAsia="Times New Roman" w:hAnsi="Times New Roman" w:cs="Times New Roman"/>
          <w:sz w:val="24"/>
          <w:szCs w:val="24"/>
        </w:rPr>
        <w:t>d</w:t>
      </w:r>
      <w:r w:rsidRPr="00F95BC7">
        <w:rPr>
          <w:rFonts w:ascii="Times New Roman" w:eastAsia="Times New Roman" w:hAnsi="Times New Roman" w:cs="Times New Roman"/>
          <w:sz w:val="24"/>
          <w:szCs w:val="24"/>
        </w:rPr>
        <w:t xml:space="preserve">o Utinga </w:t>
      </w:r>
      <w:r w:rsidR="00F4273F" w:rsidRPr="00F95BC7">
        <w:rPr>
          <w:rFonts w:ascii="Times New Roman" w:eastAsia="Times New Roman" w:hAnsi="Times New Roman" w:cs="Times New Roman"/>
          <w:sz w:val="24"/>
          <w:szCs w:val="24"/>
        </w:rPr>
        <w:t>n</w:t>
      </w:r>
      <w:r w:rsidRPr="00F95BC7">
        <w:rPr>
          <w:rFonts w:ascii="Times New Roman" w:eastAsia="Times New Roman" w:hAnsi="Times New Roman" w:cs="Times New Roman"/>
          <w:sz w:val="24"/>
          <w:szCs w:val="24"/>
        </w:rPr>
        <w:t xml:space="preserve">a Região Metropolitana </w:t>
      </w:r>
      <w:r w:rsidR="00F4273F" w:rsidRPr="00F95BC7">
        <w:rPr>
          <w:rFonts w:ascii="Times New Roman" w:eastAsia="Times New Roman" w:hAnsi="Times New Roman" w:cs="Times New Roman"/>
          <w:sz w:val="24"/>
          <w:szCs w:val="24"/>
        </w:rPr>
        <w:t>d</w:t>
      </w:r>
      <w:r w:rsidRPr="00F95BC7">
        <w:rPr>
          <w:rFonts w:ascii="Times New Roman" w:eastAsia="Times New Roman" w:hAnsi="Times New Roman" w:cs="Times New Roman"/>
          <w:sz w:val="24"/>
          <w:szCs w:val="24"/>
        </w:rPr>
        <w:t>e Belém-P</w:t>
      </w:r>
      <w:r w:rsidR="00F4273F" w:rsidRPr="00F95BC7">
        <w:rPr>
          <w:rFonts w:ascii="Times New Roman" w:eastAsia="Times New Roman" w:hAnsi="Times New Roman" w:cs="Times New Roman"/>
          <w:sz w:val="24"/>
          <w:szCs w:val="24"/>
        </w:rPr>
        <w:t>A</w:t>
      </w:r>
      <w:r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b/>
          <w:sz w:val="24"/>
          <w:szCs w:val="24"/>
        </w:rPr>
        <w:t>Enciclopédia Biosfera</w:t>
      </w:r>
      <w:r w:rsidRPr="00F95BC7">
        <w:rPr>
          <w:rFonts w:ascii="Times New Roman" w:eastAsia="Times New Roman" w:hAnsi="Times New Roman" w:cs="Times New Roman"/>
          <w:sz w:val="24"/>
          <w:szCs w:val="24"/>
        </w:rPr>
        <w:t xml:space="preserve">, Centro Científico Conhecer. v.10, n.18. Goiânia, 2014. Disponível: </w:t>
      </w:r>
      <w:hyperlink r:id="rId26">
        <w:r w:rsidRPr="00F95BC7">
          <w:rPr>
            <w:rFonts w:ascii="Times New Roman" w:eastAsia="Times New Roman" w:hAnsi="Times New Roman" w:cs="Times New Roman"/>
            <w:sz w:val="24"/>
            <w:szCs w:val="24"/>
          </w:rPr>
          <w:t xml:space="preserve">(PDF) Valoração ambiental do Parque Estadual do Utinga na Região Metropolitana de Belém-PA. Environmental assessment </w:t>
        </w:r>
        <w:proofErr w:type="spellStart"/>
        <w:r w:rsidRPr="00F95BC7">
          <w:rPr>
            <w:rFonts w:ascii="Times New Roman" w:eastAsia="Times New Roman" w:hAnsi="Times New Roman" w:cs="Times New Roman"/>
            <w:sz w:val="24"/>
            <w:szCs w:val="24"/>
          </w:rPr>
          <w:t>of</w:t>
        </w:r>
        <w:proofErr w:type="spellEnd"/>
        <w:r w:rsidRPr="00F95BC7">
          <w:rPr>
            <w:rFonts w:ascii="Times New Roman" w:eastAsia="Times New Roman" w:hAnsi="Times New Roman" w:cs="Times New Roman"/>
            <w:sz w:val="24"/>
            <w:szCs w:val="24"/>
          </w:rPr>
          <w:t xml:space="preserve"> </w:t>
        </w:r>
        <w:proofErr w:type="spellStart"/>
        <w:r w:rsidRPr="00F95BC7">
          <w:rPr>
            <w:rFonts w:ascii="Times New Roman" w:eastAsia="Times New Roman" w:hAnsi="Times New Roman" w:cs="Times New Roman"/>
            <w:sz w:val="24"/>
            <w:szCs w:val="24"/>
          </w:rPr>
          <w:t>the</w:t>
        </w:r>
        <w:proofErr w:type="spellEnd"/>
        <w:r w:rsidRPr="00F95BC7">
          <w:rPr>
            <w:rFonts w:ascii="Times New Roman" w:eastAsia="Times New Roman" w:hAnsi="Times New Roman" w:cs="Times New Roman"/>
            <w:sz w:val="24"/>
            <w:szCs w:val="24"/>
          </w:rPr>
          <w:t xml:space="preserve"> Parque Estadual do Utinga </w:t>
        </w:r>
        <w:proofErr w:type="spellStart"/>
        <w:r w:rsidRPr="00F95BC7">
          <w:rPr>
            <w:rFonts w:ascii="Times New Roman" w:eastAsia="Times New Roman" w:hAnsi="Times New Roman" w:cs="Times New Roman"/>
            <w:sz w:val="24"/>
            <w:szCs w:val="24"/>
          </w:rPr>
          <w:t>the</w:t>
        </w:r>
        <w:proofErr w:type="spellEnd"/>
        <w:r w:rsidRPr="00F95BC7">
          <w:rPr>
            <w:rFonts w:ascii="Times New Roman" w:eastAsia="Times New Roman" w:hAnsi="Times New Roman" w:cs="Times New Roman"/>
            <w:sz w:val="24"/>
            <w:szCs w:val="24"/>
          </w:rPr>
          <w:t xml:space="preserve"> Metropolitan </w:t>
        </w:r>
        <w:proofErr w:type="spellStart"/>
        <w:r w:rsidRPr="00F95BC7">
          <w:rPr>
            <w:rFonts w:ascii="Times New Roman" w:eastAsia="Times New Roman" w:hAnsi="Times New Roman" w:cs="Times New Roman"/>
            <w:sz w:val="24"/>
            <w:szCs w:val="24"/>
          </w:rPr>
          <w:t>Region</w:t>
        </w:r>
        <w:proofErr w:type="spellEnd"/>
        <w:r w:rsidRPr="00F95BC7">
          <w:rPr>
            <w:rFonts w:ascii="Times New Roman" w:eastAsia="Times New Roman" w:hAnsi="Times New Roman" w:cs="Times New Roman"/>
            <w:sz w:val="24"/>
            <w:szCs w:val="24"/>
          </w:rPr>
          <w:t xml:space="preserve"> </w:t>
        </w:r>
        <w:proofErr w:type="spellStart"/>
        <w:r w:rsidRPr="00F95BC7">
          <w:rPr>
            <w:rFonts w:ascii="Times New Roman" w:eastAsia="Times New Roman" w:hAnsi="Times New Roman" w:cs="Times New Roman"/>
            <w:sz w:val="24"/>
            <w:szCs w:val="24"/>
          </w:rPr>
          <w:t>of</w:t>
        </w:r>
        <w:proofErr w:type="spellEnd"/>
        <w:r w:rsidRPr="00F95BC7">
          <w:rPr>
            <w:rFonts w:ascii="Times New Roman" w:eastAsia="Times New Roman" w:hAnsi="Times New Roman" w:cs="Times New Roman"/>
            <w:sz w:val="24"/>
            <w:szCs w:val="24"/>
          </w:rPr>
          <w:t xml:space="preserve"> Belém, PA (researchgate.net)</w:t>
        </w:r>
      </w:hyperlink>
      <w:r w:rsidRPr="00F95BC7">
        <w:rPr>
          <w:rFonts w:ascii="Times New Roman" w:eastAsia="Times New Roman" w:hAnsi="Times New Roman" w:cs="Times New Roman"/>
          <w:sz w:val="24"/>
          <w:szCs w:val="24"/>
        </w:rPr>
        <w:t>. Acesso em: 18 nov. 2020.</w:t>
      </w:r>
    </w:p>
    <w:p w14:paraId="39722B93" w14:textId="77777777" w:rsidR="003137C0" w:rsidRPr="00F95BC7" w:rsidRDefault="003137C0">
      <w:pPr>
        <w:spacing w:after="0" w:line="240" w:lineRule="auto"/>
        <w:rPr>
          <w:rFonts w:ascii="Times New Roman" w:eastAsia="Times New Roman" w:hAnsi="Times New Roman" w:cs="Times New Roman"/>
          <w:sz w:val="24"/>
          <w:szCs w:val="24"/>
        </w:rPr>
      </w:pPr>
    </w:p>
    <w:p w14:paraId="6BFE6E1B"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IDEFOLOR-BIO. </w:t>
      </w:r>
      <w:r w:rsidRPr="00F95BC7">
        <w:rPr>
          <w:rFonts w:ascii="Times New Roman" w:eastAsia="Times New Roman" w:hAnsi="Times New Roman" w:cs="Times New Roman"/>
          <w:b/>
          <w:sz w:val="24"/>
          <w:szCs w:val="24"/>
        </w:rPr>
        <w:t>Conselho Gestor do Parque Estadual do Utinga</w:t>
      </w:r>
      <w:r w:rsidRPr="00F95BC7">
        <w:rPr>
          <w:rFonts w:ascii="Times New Roman" w:eastAsia="Times New Roman" w:hAnsi="Times New Roman" w:cs="Times New Roman"/>
          <w:sz w:val="24"/>
          <w:szCs w:val="24"/>
        </w:rPr>
        <w:t xml:space="preserve">. Disponível em: </w:t>
      </w:r>
      <w:hyperlink r:id="rId27">
        <w:r w:rsidRPr="00F95BC7">
          <w:rPr>
            <w:rFonts w:ascii="Times New Roman" w:eastAsia="Times New Roman" w:hAnsi="Times New Roman" w:cs="Times New Roman"/>
            <w:sz w:val="24"/>
            <w:szCs w:val="24"/>
          </w:rPr>
          <w:t>https://ideflorbio.pa.gov.br/conselho-gestor-parque-estadual-do-utinga/</w:t>
        </w:r>
      </w:hyperlink>
      <w:r w:rsidRPr="00F95BC7">
        <w:rPr>
          <w:rFonts w:ascii="Times New Roman" w:eastAsia="Times New Roman" w:hAnsi="Times New Roman" w:cs="Times New Roman"/>
          <w:sz w:val="24"/>
          <w:szCs w:val="24"/>
        </w:rPr>
        <w:t>. Acesso em: 17 nov. 2020</w:t>
      </w:r>
    </w:p>
    <w:p w14:paraId="1AD2FB7F" w14:textId="77777777" w:rsidR="003137C0" w:rsidRPr="00F95BC7" w:rsidRDefault="003137C0">
      <w:pPr>
        <w:spacing w:after="0" w:line="240" w:lineRule="auto"/>
        <w:rPr>
          <w:rFonts w:ascii="Times New Roman" w:eastAsia="Times New Roman" w:hAnsi="Times New Roman" w:cs="Times New Roman"/>
          <w:sz w:val="24"/>
          <w:szCs w:val="24"/>
        </w:rPr>
      </w:pPr>
    </w:p>
    <w:p w14:paraId="2B06EA0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w:t>
      </w:r>
      <w:r w:rsidRPr="00F95BC7">
        <w:rPr>
          <w:rFonts w:ascii="Times New Roman" w:eastAsia="Times New Roman" w:hAnsi="Times New Roman" w:cs="Times New Roman"/>
          <w:b/>
          <w:sz w:val="24"/>
          <w:szCs w:val="24"/>
        </w:rPr>
        <w:t>Área de Proteção Ambiental da Região Metropolitana de Belém</w:t>
      </w:r>
      <w:r w:rsidRPr="00F95BC7">
        <w:rPr>
          <w:rFonts w:ascii="Times New Roman" w:eastAsia="Times New Roman" w:hAnsi="Times New Roman" w:cs="Times New Roman"/>
          <w:sz w:val="24"/>
          <w:szCs w:val="24"/>
        </w:rPr>
        <w:t>.</w:t>
      </w:r>
    </w:p>
    <w:p w14:paraId="434C5BBE"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Disponível em: </w:t>
      </w:r>
      <w:hyperlink r:id="rId28">
        <w:r w:rsidRPr="00F95BC7">
          <w:rPr>
            <w:rFonts w:ascii="Times New Roman" w:eastAsia="Times New Roman" w:hAnsi="Times New Roman" w:cs="Times New Roman"/>
            <w:sz w:val="24"/>
            <w:szCs w:val="24"/>
          </w:rPr>
          <w:t>https://ideflorbio.pa.gov.br/unidades-de-conservacao/regiao-administrativa-de-belem/area-de-protecao-ambiental-da-regiao-metropolitana-de-belem/</w:t>
        </w:r>
      </w:hyperlink>
      <w:r w:rsidRPr="00F95BC7">
        <w:rPr>
          <w:rFonts w:ascii="Times New Roman" w:eastAsia="Times New Roman" w:hAnsi="Times New Roman" w:cs="Times New Roman"/>
          <w:sz w:val="24"/>
          <w:szCs w:val="24"/>
        </w:rPr>
        <w:t xml:space="preserve"> Acesso em: 17 nov. 2020</w:t>
      </w:r>
    </w:p>
    <w:p w14:paraId="63685C04" w14:textId="77777777" w:rsidR="003137C0" w:rsidRPr="00F95BC7" w:rsidRDefault="003137C0">
      <w:pPr>
        <w:spacing w:after="0" w:line="240" w:lineRule="auto"/>
        <w:rPr>
          <w:rFonts w:ascii="Times New Roman" w:eastAsia="Times New Roman" w:hAnsi="Times New Roman" w:cs="Times New Roman"/>
          <w:sz w:val="24"/>
          <w:szCs w:val="24"/>
        </w:rPr>
      </w:pPr>
    </w:p>
    <w:p w14:paraId="359EF70C"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w:t>
      </w:r>
      <w:r w:rsidRPr="00F95BC7">
        <w:rPr>
          <w:rFonts w:ascii="Times New Roman" w:eastAsia="Times New Roman" w:hAnsi="Times New Roman" w:cs="Times New Roman"/>
          <w:b/>
          <w:sz w:val="24"/>
          <w:szCs w:val="24"/>
        </w:rPr>
        <w:t>Refúgio de Vida Silvestre Metrópole da Amazônia</w:t>
      </w:r>
      <w:r w:rsidRPr="00F95BC7">
        <w:rPr>
          <w:rFonts w:ascii="Times New Roman" w:eastAsia="Times New Roman" w:hAnsi="Times New Roman" w:cs="Times New Roman"/>
          <w:sz w:val="24"/>
          <w:szCs w:val="24"/>
        </w:rPr>
        <w:t>.</w:t>
      </w:r>
    </w:p>
    <w:p w14:paraId="2E7848EC"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Disponível em: </w:t>
      </w:r>
      <w:hyperlink r:id="rId29">
        <w:r w:rsidRPr="00F95BC7">
          <w:rPr>
            <w:rFonts w:ascii="Times New Roman" w:eastAsia="Times New Roman" w:hAnsi="Times New Roman" w:cs="Times New Roman"/>
            <w:sz w:val="24"/>
            <w:szCs w:val="24"/>
          </w:rPr>
          <w:t>https://ideflorbio.pa.gov.br/unidades-de-conservacao/regiao-administrativa-de-belem/refugio-de-vida-silvestre-metropole-da-amazonia/</w:t>
        </w:r>
      </w:hyperlink>
      <w:r w:rsidRPr="00F95BC7">
        <w:rPr>
          <w:rFonts w:ascii="Times New Roman" w:eastAsia="Times New Roman" w:hAnsi="Times New Roman" w:cs="Times New Roman"/>
          <w:sz w:val="24"/>
          <w:szCs w:val="24"/>
        </w:rPr>
        <w:t xml:space="preserve"> Acesso em: 17 nov. 2020</w:t>
      </w:r>
    </w:p>
    <w:p w14:paraId="57925D1A" w14:textId="77777777" w:rsidR="003137C0" w:rsidRPr="00F95BC7" w:rsidRDefault="003137C0">
      <w:pPr>
        <w:spacing w:after="0" w:line="240" w:lineRule="auto"/>
        <w:rPr>
          <w:rFonts w:ascii="Times New Roman" w:eastAsia="Times New Roman" w:hAnsi="Times New Roman" w:cs="Times New Roman"/>
          <w:sz w:val="24"/>
          <w:szCs w:val="24"/>
        </w:rPr>
      </w:pPr>
    </w:p>
    <w:p w14:paraId="250A8058"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w:t>
      </w:r>
      <w:r w:rsidRPr="00F95BC7">
        <w:rPr>
          <w:rFonts w:ascii="Times New Roman" w:eastAsia="Times New Roman" w:hAnsi="Times New Roman" w:cs="Times New Roman"/>
          <w:b/>
          <w:sz w:val="24"/>
          <w:szCs w:val="24"/>
        </w:rPr>
        <w:t>Gestão do Parque do Utinga será compartilha com a Pará 2020</w:t>
      </w:r>
      <w:r w:rsidRPr="00F95BC7">
        <w:rPr>
          <w:rFonts w:ascii="Times New Roman" w:eastAsia="Times New Roman" w:hAnsi="Times New Roman" w:cs="Times New Roman"/>
          <w:sz w:val="24"/>
          <w:szCs w:val="24"/>
        </w:rPr>
        <w:t xml:space="preserve">. Notícias. 17/04/2018. Disponível em: </w:t>
      </w:r>
      <w:hyperlink r:id="rId30">
        <w:r w:rsidRPr="00F95BC7">
          <w:rPr>
            <w:rFonts w:ascii="Times New Roman" w:eastAsia="Times New Roman" w:hAnsi="Times New Roman" w:cs="Times New Roman"/>
            <w:sz w:val="24"/>
            <w:szCs w:val="24"/>
          </w:rPr>
          <w:t>Gestão do Parque do Utinga será compartilhada com a Pará 2000 | (ideflorbio.pa.gov.br)</w:t>
        </w:r>
      </w:hyperlink>
      <w:r w:rsidRPr="00F95BC7">
        <w:rPr>
          <w:rFonts w:ascii="Times New Roman" w:eastAsia="Times New Roman" w:hAnsi="Times New Roman" w:cs="Times New Roman"/>
          <w:sz w:val="24"/>
          <w:szCs w:val="24"/>
        </w:rPr>
        <w:t xml:space="preserve"> Acesso em: 06 dez. 2020</w:t>
      </w:r>
    </w:p>
    <w:p w14:paraId="1EEA77E7" w14:textId="77777777" w:rsidR="003137C0" w:rsidRPr="00F95BC7" w:rsidRDefault="003137C0">
      <w:pPr>
        <w:spacing w:after="0" w:line="240" w:lineRule="auto"/>
        <w:rPr>
          <w:rFonts w:ascii="Times New Roman" w:eastAsia="Times New Roman" w:hAnsi="Times New Roman" w:cs="Times New Roman"/>
          <w:sz w:val="24"/>
          <w:szCs w:val="24"/>
        </w:rPr>
      </w:pPr>
    </w:p>
    <w:p w14:paraId="24069AC8" w14:textId="46AC8BDF"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_______. </w:t>
      </w:r>
      <w:r w:rsidRPr="00F95BC7">
        <w:rPr>
          <w:rFonts w:ascii="Times New Roman" w:eastAsia="Times New Roman" w:hAnsi="Times New Roman" w:cs="Times New Roman"/>
          <w:b/>
          <w:sz w:val="24"/>
          <w:szCs w:val="24"/>
        </w:rPr>
        <w:t>Portaria nº 858</w:t>
      </w:r>
      <w:r w:rsidRPr="00F95BC7">
        <w:rPr>
          <w:rFonts w:ascii="Times New Roman" w:eastAsia="Times New Roman" w:hAnsi="Times New Roman" w:cs="Times New Roman"/>
          <w:sz w:val="24"/>
          <w:szCs w:val="24"/>
        </w:rPr>
        <w:t xml:space="preserve">, de 23 de novembro de 2016 – GAB/IDEFLOR-BIO. Disponível em: </w:t>
      </w:r>
      <w:hyperlink r:id="rId31" w:history="1">
        <w:r w:rsidR="00D336AC" w:rsidRPr="00F95BC7">
          <w:rPr>
            <w:rStyle w:val="Hyperlink"/>
            <w:rFonts w:ascii="Times New Roman" w:eastAsia="Times New Roman" w:hAnsi="Times New Roman" w:cs="Times New Roman"/>
            <w:color w:val="auto"/>
            <w:sz w:val="24"/>
            <w:szCs w:val="24"/>
            <w:u w:val="none"/>
          </w:rPr>
          <w:t>https://ideflorbio.pa.gov.br/wp-content/uploads/2017/11/Portaria_Renova%C3%A7%C3%A3o_ PEUT2016.11.24.DOE_.pdf</w:t>
        </w:r>
      </w:hyperlink>
      <w:r w:rsidRPr="00F95BC7">
        <w:rPr>
          <w:rFonts w:ascii="Times New Roman" w:eastAsia="Times New Roman" w:hAnsi="Times New Roman" w:cs="Times New Roman"/>
          <w:sz w:val="24"/>
          <w:szCs w:val="24"/>
        </w:rPr>
        <w:t>. Acesso em: 17 nov. 2020</w:t>
      </w:r>
      <w:r w:rsidR="00D336AC" w:rsidRPr="00F95BC7">
        <w:rPr>
          <w:rFonts w:ascii="Times New Roman" w:eastAsia="Times New Roman" w:hAnsi="Times New Roman" w:cs="Times New Roman"/>
          <w:sz w:val="24"/>
          <w:szCs w:val="24"/>
        </w:rPr>
        <w:t>.</w:t>
      </w:r>
    </w:p>
    <w:p w14:paraId="2C6CB789"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61C9C42E"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INSTITUTO CHICO MENDES DE BIODIVERSIDADE (ICMBIO). </w:t>
      </w:r>
      <w:r w:rsidRPr="00F95BC7">
        <w:rPr>
          <w:rFonts w:ascii="Times New Roman" w:eastAsia="Times New Roman" w:hAnsi="Times New Roman" w:cs="Times New Roman"/>
          <w:b/>
          <w:sz w:val="24"/>
          <w:szCs w:val="24"/>
        </w:rPr>
        <w:t>Parque Nacional de Itatiaia</w:t>
      </w:r>
      <w:r w:rsidRPr="00F95BC7">
        <w:rPr>
          <w:rFonts w:ascii="Times New Roman" w:eastAsia="Times New Roman" w:hAnsi="Times New Roman" w:cs="Times New Roman"/>
          <w:sz w:val="24"/>
          <w:szCs w:val="24"/>
        </w:rPr>
        <w:t xml:space="preserve">. Disponível em: </w:t>
      </w:r>
      <w:hyperlink r:id="rId32">
        <w:r w:rsidRPr="00F95BC7">
          <w:rPr>
            <w:rFonts w:ascii="Times New Roman" w:eastAsia="Times New Roman" w:hAnsi="Times New Roman" w:cs="Times New Roman"/>
            <w:sz w:val="24"/>
            <w:szCs w:val="24"/>
            <w:u w:val="single"/>
          </w:rPr>
          <w:t>http://www.icmbio.gov.br/parnaitatiaia/</w:t>
        </w:r>
      </w:hyperlink>
      <w:r w:rsidRPr="00F95BC7">
        <w:rPr>
          <w:rFonts w:ascii="Times New Roman" w:eastAsia="Times New Roman" w:hAnsi="Times New Roman" w:cs="Times New Roman"/>
          <w:sz w:val="24"/>
          <w:szCs w:val="24"/>
        </w:rPr>
        <w:t xml:space="preserve"> Acesso em: 18 mar. 2019</w:t>
      </w:r>
    </w:p>
    <w:p w14:paraId="14780882" w14:textId="77777777" w:rsidR="003137C0" w:rsidRPr="00F95BC7" w:rsidRDefault="003137C0">
      <w:pPr>
        <w:spacing w:after="0" w:line="240" w:lineRule="auto"/>
        <w:rPr>
          <w:rFonts w:ascii="Times New Roman" w:eastAsia="Times New Roman" w:hAnsi="Times New Roman" w:cs="Times New Roman"/>
          <w:sz w:val="24"/>
          <w:szCs w:val="24"/>
        </w:rPr>
      </w:pPr>
    </w:p>
    <w:p w14:paraId="5BEB1700"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ISA. </w:t>
      </w:r>
      <w:r w:rsidRPr="00F95BC7">
        <w:rPr>
          <w:rFonts w:ascii="Times New Roman" w:eastAsia="Times New Roman" w:hAnsi="Times New Roman" w:cs="Times New Roman"/>
          <w:b/>
          <w:bCs/>
          <w:sz w:val="24"/>
          <w:szCs w:val="24"/>
        </w:rPr>
        <w:t>Unidades de conservação no Basil – Mapa</w:t>
      </w:r>
      <w:r w:rsidRPr="00F95BC7">
        <w:rPr>
          <w:rFonts w:ascii="Times New Roman" w:eastAsia="Times New Roman" w:hAnsi="Times New Roman" w:cs="Times New Roman"/>
          <w:sz w:val="24"/>
          <w:szCs w:val="24"/>
        </w:rPr>
        <w:t xml:space="preserve">. Disponível em: </w:t>
      </w:r>
      <w:hyperlink r:id="rId33" w:history="1">
        <w:r w:rsidRPr="00F95BC7">
          <w:rPr>
            <w:rFonts w:ascii="Times New Roman" w:eastAsia="Times New Roman" w:hAnsi="Times New Roman" w:cs="Times New Roman"/>
            <w:sz w:val="24"/>
            <w:szCs w:val="24"/>
          </w:rPr>
          <w:t>Início | Unidades de Conservação no Brasil (socioambiental.org)</w:t>
        </w:r>
      </w:hyperlink>
      <w:r w:rsidRPr="00F95BC7">
        <w:rPr>
          <w:rFonts w:ascii="Times New Roman" w:eastAsia="Times New Roman" w:hAnsi="Times New Roman" w:cs="Times New Roman"/>
          <w:sz w:val="24"/>
          <w:szCs w:val="24"/>
        </w:rPr>
        <w:t>. Acesso em: 17 nov. 2020 (Imagem)</w:t>
      </w:r>
    </w:p>
    <w:p w14:paraId="64DE488B" w14:textId="77777777" w:rsidR="003137C0" w:rsidRPr="00F95BC7" w:rsidRDefault="003137C0">
      <w:pPr>
        <w:spacing w:after="0" w:line="240" w:lineRule="auto"/>
        <w:rPr>
          <w:rFonts w:ascii="Times New Roman" w:eastAsia="Times New Roman" w:hAnsi="Times New Roman" w:cs="Times New Roman"/>
          <w:sz w:val="24"/>
          <w:szCs w:val="24"/>
        </w:rPr>
      </w:pPr>
    </w:p>
    <w:p w14:paraId="3E91EBC4"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JACOBI, P. R. Espaços públicos e práticas participativas na gestão do meio ambiente no Brasil. </w:t>
      </w:r>
      <w:r w:rsidRPr="00F95BC7">
        <w:rPr>
          <w:rFonts w:ascii="Times New Roman" w:eastAsia="Times New Roman" w:hAnsi="Times New Roman" w:cs="Times New Roman"/>
          <w:b/>
          <w:sz w:val="24"/>
          <w:szCs w:val="24"/>
        </w:rPr>
        <w:t>Revista Sociedade &amp; Estado</w:t>
      </w:r>
      <w:r w:rsidRPr="00F95BC7">
        <w:rPr>
          <w:rFonts w:ascii="Times New Roman" w:eastAsia="Times New Roman" w:hAnsi="Times New Roman" w:cs="Times New Roman"/>
          <w:sz w:val="24"/>
          <w:szCs w:val="24"/>
        </w:rPr>
        <w:t xml:space="preserve">. Brasília, v. 18, </w:t>
      </w:r>
      <w:proofErr w:type="spellStart"/>
      <w:r w:rsidRPr="00F95BC7">
        <w:rPr>
          <w:rFonts w:ascii="Times New Roman" w:eastAsia="Times New Roman" w:hAnsi="Times New Roman" w:cs="Times New Roman"/>
          <w:sz w:val="24"/>
          <w:szCs w:val="24"/>
        </w:rPr>
        <w:t>ns</w:t>
      </w:r>
      <w:proofErr w:type="spellEnd"/>
      <w:r w:rsidRPr="00F95BC7">
        <w:rPr>
          <w:rFonts w:ascii="Times New Roman" w:eastAsia="Times New Roman" w:hAnsi="Times New Roman" w:cs="Times New Roman"/>
          <w:sz w:val="24"/>
          <w:szCs w:val="24"/>
        </w:rPr>
        <w:t xml:space="preserve">. 1-2, jan./dez., 2003. Disponível: </w:t>
      </w:r>
      <w:hyperlink r:id="rId34">
        <w:r w:rsidRPr="00F95BC7">
          <w:rPr>
            <w:rFonts w:ascii="Times New Roman" w:eastAsia="Times New Roman" w:hAnsi="Times New Roman" w:cs="Times New Roman"/>
            <w:sz w:val="24"/>
            <w:szCs w:val="24"/>
          </w:rPr>
          <w:t>Espaços públicos e práticas participativas na gestão do meio ambiente no Brasil (scielo.br)</w:t>
        </w:r>
      </w:hyperlink>
      <w:r w:rsidRPr="00F95BC7">
        <w:rPr>
          <w:rFonts w:ascii="Times New Roman" w:eastAsia="Times New Roman" w:hAnsi="Times New Roman" w:cs="Times New Roman"/>
          <w:sz w:val="24"/>
          <w:szCs w:val="24"/>
        </w:rPr>
        <w:t>. Acesso em: 18 nov. 2020.</w:t>
      </w:r>
    </w:p>
    <w:p w14:paraId="7F0E8DEC" w14:textId="77777777" w:rsidR="003137C0" w:rsidRPr="00F95BC7" w:rsidRDefault="003137C0">
      <w:pPr>
        <w:spacing w:after="0" w:line="240" w:lineRule="auto"/>
        <w:rPr>
          <w:rFonts w:ascii="Times New Roman" w:eastAsia="Times New Roman" w:hAnsi="Times New Roman" w:cs="Times New Roman"/>
          <w:sz w:val="24"/>
          <w:szCs w:val="24"/>
        </w:rPr>
      </w:pPr>
    </w:p>
    <w:p w14:paraId="6C67A120"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MARCONI, M. de A.; LAKATOS, E. M. </w:t>
      </w:r>
      <w:r w:rsidRPr="00F95BC7">
        <w:rPr>
          <w:rFonts w:ascii="Times New Roman" w:eastAsia="Times New Roman" w:hAnsi="Times New Roman" w:cs="Times New Roman"/>
          <w:b/>
          <w:sz w:val="24"/>
          <w:szCs w:val="24"/>
        </w:rPr>
        <w:t>Fundamentos da metodologia científica</w:t>
      </w:r>
      <w:r w:rsidRPr="00F95BC7">
        <w:rPr>
          <w:rFonts w:ascii="Times New Roman" w:eastAsia="Times New Roman" w:hAnsi="Times New Roman" w:cs="Times New Roman"/>
          <w:sz w:val="24"/>
          <w:szCs w:val="24"/>
        </w:rPr>
        <w:t>. 8ª Edição. São Paulo: Atlas, 2017.</w:t>
      </w:r>
    </w:p>
    <w:p w14:paraId="5E9D3558" w14:textId="77777777" w:rsidR="003137C0" w:rsidRPr="00F95BC7" w:rsidRDefault="003137C0">
      <w:pPr>
        <w:spacing w:after="0" w:line="240" w:lineRule="auto"/>
        <w:rPr>
          <w:rFonts w:ascii="Times New Roman" w:eastAsia="Times New Roman" w:hAnsi="Times New Roman" w:cs="Times New Roman"/>
          <w:sz w:val="24"/>
          <w:szCs w:val="24"/>
        </w:rPr>
      </w:pPr>
    </w:p>
    <w:p w14:paraId="50146063"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MENDES, J. C. R. et al.</w:t>
      </w:r>
      <w:r w:rsidRPr="00F95BC7">
        <w:rPr>
          <w:rFonts w:ascii="Times New Roman" w:eastAsia="Times New Roman" w:hAnsi="Times New Roman" w:cs="Times New Roman"/>
          <w:b/>
          <w:sz w:val="24"/>
          <w:szCs w:val="24"/>
        </w:rPr>
        <w:t xml:space="preserve"> </w:t>
      </w:r>
      <w:r w:rsidRPr="00F95BC7">
        <w:rPr>
          <w:rFonts w:ascii="Times New Roman" w:eastAsia="Times New Roman" w:hAnsi="Times New Roman" w:cs="Times New Roman"/>
          <w:sz w:val="24"/>
          <w:szCs w:val="24"/>
        </w:rPr>
        <w:t xml:space="preserve">Estudo de percepção ambiental em uma área verde urbana no município de Ananindeua – PA. II Simpósio de Estudos e Pesquisas em Ciências Ambientais na Amazônia, Belém (PA), 19 a 21 nov. 2013. </w:t>
      </w:r>
      <w:r w:rsidRPr="00F95BC7">
        <w:rPr>
          <w:rFonts w:ascii="Times New Roman" w:eastAsia="Times New Roman" w:hAnsi="Times New Roman" w:cs="Times New Roman"/>
          <w:b/>
          <w:sz w:val="24"/>
          <w:szCs w:val="24"/>
        </w:rPr>
        <w:t>Anais...</w:t>
      </w:r>
      <w:r w:rsidRPr="00F95BC7">
        <w:rPr>
          <w:rFonts w:ascii="Times New Roman" w:eastAsia="Times New Roman" w:hAnsi="Times New Roman" w:cs="Times New Roman"/>
          <w:sz w:val="24"/>
          <w:szCs w:val="24"/>
        </w:rPr>
        <w:t xml:space="preserve"> Belém: UEPA, 2013. </w:t>
      </w:r>
    </w:p>
    <w:p w14:paraId="38C293A0" w14:textId="77777777" w:rsidR="003137C0" w:rsidRPr="00F95BC7" w:rsidRDefault="003137C0">
      <w:pPr>
        <w:spacing w:after="0" w:line="240" w:lineRule="auto"/>
        <w:rPr>
          <w:rFonts w:ascii="Times New Roman" w:eastAsia="Times New Roman" w:hAnsi="Times New Roman" w:cs="Times New Roman"/>
          <w:sz w:val="24"/>
          <w:szCs w:val="24"/>
        </w:rPr>
      </w:pPr>
    </w:p>
    <w:p w14:paraId="1BA63CEA" w14:textId="6D57C56C"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MINISTÉRIO DO MEIO AMBIENTE (MMA). </w:t>
      </w:r>
      <w:r w:rsidRPr="00F95BC7">
        <w:rPr>
          <w:rFonts w:ascii="Times New Roman" w:eastAsia="Times New Roman" w:hAnsi="Times New Roman" w:cs="Times New Roman"/>
          <w:b/>
          <w:sz w:val="24"/>
          <w:szCs w:val="24"/>
        </w:rPr>
        <w:t>Cadastro nacional de UC</w:t>
      </w:r>
      <w:r w:rsidRPr="00F95BC7">
        <w:rPr>
          <w:rFonts w:ascii="Times New Roman" w:eastAsia="Times New Roman" w:hAnsi="Times New Roman" w:cs="Times New Roman"/>
          <w:sz w:val="24"/>
          <w:szCs w:val="24"/>
        </w:rPr>
        <w:t xml:space="preserve">. Disponível em: </w:t>
      </w:r>
      <w:hyperlink r:id="rId35" w:history="1">
        <w:r w:rsidR="002C79E6" w:rsidRPr="00F95BC7">
          <w:rPr>
            <w:rStyle w:val="Hyperlink"/>
            <w:rFonts w:ascii="Times New Roman" w:eastAsia="Times New Roman" w:hAnsi="Times New Roman" w:cs="Times New Roman"/>
            <w:color w:val="auto"/>
            <w:sz w:val="24"/>
            <w:szCs w:val="24"/>
            <w:u w:val="none"/>
          </w:rPr>
          <w:t>http://www.mma.gov.br/areas-protegidas/cadastro-nacional-de-ucs/consulta-por-uc.html</w:t>
        </w:r>
      </w:hyperlink>
      <w:r w:rsidRPr="00F95BC7">
        <w:rPr>
          <w:rFonts w:ascii="Times New Roman" w:eastAsia="Times New Roman" w:hAnsi="Times New Roman" w:cs="Times New Roman"/>
          <w:sz w:val="24"/>
          <w:szCs w:val="24"/>
        </w:rPr>
        <w:t>. Acesso em</w:t>
      </w:r>
      <w:r w:rsidR="00DE36F7" w:rsidRPr="00F95BC7">
        <w:rPr>
          <w:rFonts w:ascii="Times New Roman" w:eastAsia="Times New Roman" w:hAnsi="Times New Roman" w:cs="Times New Roman"/>
          <w:sz w:val="24"/>
          <w:szCs w:val="24"/>
        </w:rPr>
        <w:t>:</w:t>
      </w:r>
      <w:r w:rsidRPr="00F95BC7">
        <w:rPr>
          <w:rFonts w:ascii="Times New Roman" w:eastAsia="Times New Roman" w:hAnsi="Times New Roman" w:cs="Times New Roman"/>
          <w:sz w:val="24"/>
          <w:szCs w:val="24"/>
        </w:rPr>
        <w:t xml:space="preserve"> 05 jan. 2019.</w:t>
      </w:r>
    </w:p>
    <w:p w14:paraId="537BA40A" w14:textId="77777777" w:rsidR="003137C0" w:rsidRPr="00F95BC7" w:rsidRDefault="003137C0">
      <w:pPr>
        <w:spacing w:after="0" w:line="240" w:lineRule="auto"/>
        <w:rPr>
          <w:rFonts w:ascii="Times New Roman" w:eastAsia="Times New Roman" w:hAnsi="Times New Roman" w:cs="Times New Roman"/>
          <w:sz w:val="24"/>
          <w:szCs w:val="24"/>
        </w:rPr>
      </w:pPr>
    </w:p>
    <w:p w14:paraId="4950F4F7"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w:t>
      </w:r>
      <w:r w:rsidRPr="00F95BC7">
        <w:rPr>
          <w:rFonts w:ascii="Times New Roman" w:eastAsia="Times New Roman" w:hAnsi="Times New Roman" w:cs="Times New Roman"/>
          <w:b/>
          <w:sz w:val="24"/>
          <w:szCs w:val="24"/>
        </w:rPr>
        <w:t>A unidade de conservação e o território</w:t>
      </w:r>
      <w:r w:rsidRPr="00F95BC7">
        <w:rPr>
          <w:rFonts w:ascii="Times New Roman" w:eastAsia="Times New Roman" w:hAnsi="Times New Roman" w:cs="Times New Roman"/>
          <w:sz w:val="24"/>
          <w:szCs w:val="24"/>
        </w:rPr>
        <w:t xml:space="preserve">: reconhecendo o contexto socioambiental e geopolítico. Série educação ambiental e comunicação em unidades de conservação. Brasília: 2015. </w:t>
      </w:r>
    </w:p>
    <w:p w14:paraId="41D27FB2" w14:textId="77777777" w:rsidR="003137C0" w:rsidRPr="00F95BC7" w:rsidRDefault="003137C0">
      <w:pPr>
        <w:spacing w:after="0" w:line="240" w:lineRule="auto"/>
        <w:rPr>
          <w:rFonts w:ascii="Times New Roman" w:eastAsia="Times New Roman" w:hAnsi="Times New Roman" w:cs="Times New Roman"/>
          <w:sz w:val="24"/>
          <w:szCs w:val="24"/>
        </w:rPr>
      </w:pPr>
    </w:p>
    <w:p w14:paraId="4379B2F2"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w:t>
      </w:r>
      <w:r w:rsidRPr="00F95BC7">
        <w:rPr>
          <w:rFonts w:ascii="Times New Roman" w:eastAsia="Times New Roman" w:hAnsi="Times New Roman" w:cs="Times New Roman"/>
          <w:b/>
          <w:sz w:val="24"/>
          <w:szCs w:val="24"/>
        </w:rPr>
        <w:t>Painel</w:t>
      </w:r>
      <w:r w:rsidRPr="00F95BC7">
        <w:rPr>
          <w:rFonts w:ascii="Times New Roman" w:eastAsia="Times New Roman" w:hAnsi="Times New Roman" w:cs="Times New Roman"/>
          <w:sz w:val="24"/>
          <w:szCs w:val="24"/>
        </w:rPr>
        <w:t>: unidades de conservação brasileiras. Disponível em: https://</w:t>
      </w:r>
      <w:hyperlink r:id="rId36" w:history="1">
        <w:r w:rsidRPr="00F95BC7">
          <w:rPr>
            <w:rFonts w:ascii="Times New Roman" w:eastAsia="Times New Roman" w:hAnsi="Times New Roman" w:cs="Times New Roman"/>
            <w:sz w:val="24"/>
            <w:szCs w:val="24"/>
          </w:rPr>
          <w:t>Microsoft Power BI</w:t>
        </w:r>
      </w:hyperlink>
      <w:r w:rsidRPr="00F95BC7">
        <w:rPr>
          <w:rFonts w:ascii="Times New Roman" w:eastAsia="Times New Roman" w:hAnsi="Times New Roman" w:cs="Times New Roman"/>
          <w:sz w:val="24"/>
          <w:szCs w:val="24"/>
        </w:rPr>
        <w:t xml:space="preserve"> Acesso em 05 jan. 2019.</w:t>
      </w:r>
    </w:p>
    <w:p w14:paraId="2ED2BB3E" w14:textId="77777777" w:rsidR="003137C0" w:rsidRPr="00F95BC7" w:rsidRDefault="003137C0">
      <w:pPr>
        <w:spacing w:after="0" w:line="240" w:lineRule="auto"/>
        <w:rPr>
          <w:rFonts w:ascii="Times New Roman" w:eastAsia="Times New Roman" w:hAnsi="Times New Roman" w:cs="Times New Roman"/>
          <w:sz w:val="24"/>
          <w:szCs w:val="24"/>
        </w:rPr>
      </w:pPr>
    </w:p>
    <w:p w14:paraId="6565FE61" w14:textId="77777777" w:rsidR="003137C0" w:rsidRPr="00F95BC7" w:rsidRDefault="004F6FC7">
      <w:pPr>
        <w:shd w:val="clear" w:color="auto" w:fill="FFFFFF"/>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NASCIMENTO, R. S. et al. Refúgio de vida silvestre Metrópole da Amazônia: percepção do conselho consultivo quanto ao aproveitamento turístico local.</w:t>
      </w:r>
      <w:r w:rsidRPr="00F95BC7">
        <w:rPr>
          <w:rFonts w:ascii="Times New Roman" w:eastAsia="Times New Roman" w:hAnsi="Times New Roman" w:cs="Times New Roman"/>
          <w:b/>
          <w:bCs/>
          <w:sz w:val="24"/>
          <w:szCs w:val="24"/>
        </w:rPr>
        <w:t xml:space="preserve"> Revista </w:t>
      </w:r>
      <w:proofErr w:type="spellStart"/>
      <w:r w:rsidRPr="00F95BC7">
        <w:rPr>
          <w:rFonts w:ascii="Times New Roman" w:eastAsia="Times New Roman" w:hAnsi="Times New Roman" w:cs="Times New Roman"/>
          <w:b/>
          <w:bCs/>
          <w:sz w:val="24"/>
          <w:szCs w:val="24"/>
        </w:rPr>
        <w:t>Iberoamericana</w:t>
      </w:r>
      <w:proofErr w:type="spellEnd"/>
      <w:r w:rsidRPr="00F95BC7">
        <w:rPr>
          <w:rFonts w:ascii="Times New Roman" w:eastAsia="Times New Roman" w:hAnsi="Times New Roman" w:cs="Times New Roman"/>
          <w:b/>
          <w:bCs/>
          <w:sz w:val="24"/>
          <w:szCs w:val="24"/>
        </w:rPr>
        <w:t xml:space="preserve"> de Turismo- RITUR</w:t>
      </w:r>
      <w:r w:rsidRPr="00F95BC7">
        <w:rPr>
          <w:rFonts w:ascii="Times New Roman" w:eastAsia="Times New Roman" w:hAnsi="Times New Roman" w:cs="Times New Roman"/>
          <w:sz w:val="24"/>
          <w:szCs w:val="24"/>
        </w:rPr>
        <w:t xml:space="preserve">, Penedo, Volume 8, Número 1, abr. 2018, p.177-205. Disponível: </w:t>
      </w:r>
      <w:hyperlink r:id="rId37">
        <w:r w:rsidRPr="00F95BC7">
          <w:rPr>
            <w:rFonts w:ascii="Times New Roman" w:eastAsia="Times New Roman" w:hAnsi="Times New Roman" w:cs="Times New Roman"/>
            <w:sz w:val="24"/>
            <w:szCs w:val="24"/>
          </w:rPr>
          <w:t>http://www.seer.ufal.br/index.php/ritur</w:t>
        </w:r>
      </w:hyperlink>
      <w:r w:rsidRPr="00F95BC7">
        <w:rPr>
          <w:rFonts w:ascii="Times New Roman" w:eastAsia="Times New Roman" w:hAnsi="Times New Roman" w:cs="Times New Roman"/>
          <w:sz w:val="24"/>
          <w:szCs w:val="24"/>
        </w:rPr>
        <w:t xml:space="preserve"> Acesso em: 17 nov. 2020.</w:t>
      </w:r>
    </w:p>
    <w:p w14:paraId="14DCCCAC"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75A49881" w14:textId="5B3DA623" w:rsidR="003137C0" w:rsidRPr="00F95BC7" w:rsidRDefault="004F6FC7">
      <w:pPr>
        <w:shd w:val="clear" w:color="auto" w:fill="FFFFFF"/>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NISHIMURA, C. N. et al. Aplicação do Método de Avaliação Contingente de uma Unidade de Conservação: Estudo de Caso do Museu Parque Seringal - PA. </w:t>
      </w:r>
      <w:r w:rsidRPr="00F95BC7">
        <w:rPr>
          <w:rFonts w:ascii="Times New Roman" w:eastAsia="Times New Roman" w:hAnsi="Times New Roman" w:cs="Times New Roman"/>
          <w:b/>
          <w:sz w:val="24"/>
          <w:szCs w:val="24"/>
        </w:rPr>
        <w:t>Anais</w:t>
      </w:r>
      <w:r w:rsidRPr="00F95BC7">
        <w:rPr>
          <w:rFonts w:ascii="Times New Roman" w:eastAsia="Times New Roman" w:hAnsi="Times New Roman" w:cs="Times New Roman"/>
          <w:sz w:val="24"/>
          <w:szCs w:val="24"/>
        </w:rPr>
        <w:t xml:space="preserve"> ... XII Encontro Nac. </w:t>
      </w:r>
      <w:proofErr w:type="spellStart"/>
      <w:r w:rsidRPr="00F95BC7">
        <w:rPr>
          <w:rFonts w:ascii="Times New Roman" w:eastAsia="Times New Roman" w:hAnsi="Times New Roman" w:cs="Times New Roman"/>
          <w:sz w:val="24"/>
          <w:szCs w:val="24"/>
        </w:rPr>
        <w:t>da</w:t>
      </w:r>
      <w:proofErr w:type="spellEnd"/>
      <w:r w:rsidRPr="00F95BC7">
        <w:rPr>
          <w:rFonts w:ascii="Times New Roman" w:eastAsia="Times New Roman" w:hAnsi="Times New Roman" w:cs="Times New Roman"/>
          <w:sz w:val="24"/>
          <w:szCs w:val="24"/>
        </w:rPr>
        <w:t xml:space="preserve"> Soc. Brasileira de Economia Ecologia: economia ecológica e institucionalidade ambiental em tempos de </w:t>
      </w:r>
      <w:r w:rsidRPr="00F95BC7">
        <w:rPr>
          <w:rFonts w:ascii="Times New Roman" w:eastAsia="Times New Roman" w:hAnsi="Times New Roman" w:cs="Times New Roman"/>
          <w:sz w:val="24"/>
          <w:szCs w:val="24"/>
        </w:rPr>
        <w:lastRenderedPageBreak/>
        <w:t xml:space="preserve">crise. Universidade Federal de Uberlândia. Uberlândia, 2017. Disponível: </w:t>
      </w:r>
      <w:hyperlink r:id="rId38">
        <w:r w:rsidRPr="00F95BC7">
          <w:rPr>
            <w:rFonts w:ascii="Times New Roman" w:eastAsia="Times New Roman" w:hAnsi="Times New Roman" w:cs="Times New Roman"/>
            <w:sz w:val="24"/>
            <w:szCs w:val="24"/>
          </w:rPr>
          <w:t xml:space="preserve">(PDF) Aplicação do Método de Avaliação Contingente de uma Unidade de Conservação: Estudo de Caso do Museu Parque </w:t>
        </w:r>
        <w:proofErr w:type="spellStart"/>
        <w:r w:rsidRPr="00F95BC7">
          <w:rPr>
            <w:rFonts w:ascii="Times New Roman" w:eastAsia="Times New Roman" w:hAnsi="Times New Roman" w:cs="Times New Roman"/>
            <w:sz w:val="24"/>
            <w:szCs w:val="24"/>
          </w:rPr>
          <w:t>Seringal-PA</w:t>
        </w:r>
        <w:proofErr w:type="spellEnd"/>
        <w:r w:rsidRPr="00F95BC7">
          <w:rPr>
            <w:rFonts w:ascii="Times New Roman" w:eastAsia="Times New Roman" w:hAnsi="Times New Roman" w:cs="Times New Roman"/>
            <w:sz w:val="24"/>
            <w:szCs w:val="24"/>
          </w:rPr>
          <w:t xml:space="preserve"> (researchgate.net)</w:t>
        </w:r>
      </w:hyperlink>
      <w:r w:rsidRPr="00F95BC7">
        <w:rPr>
          <w:rFonts w:ascii="Times New Roman" w:eastAsia="Times New Roman" w:hAnsi="Times New Roman" w:cs="Times New Roman"/>
          <w:sz w:val="24"/>
          <w:szCs w:val="24"/>
        </w:rPr>
        <w:t xml:space="preserve"> Acesso em: 17 nov. 2020.</w:t>
      </w:r>
    </w:p>
    <w:p w14:paraId="467B8BA4"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0CA8F94F"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ORTEGA Y GASSET, J. </w:t>
      </w:r>
      <w:r w:rsidRPr="00F95BC7">
        <w:rPr>
          <w:rFonts w:ascii="Times New Roman" w:eastAsia="Times New Roman" w:hAnsi="Times New Roman" w:cs="Times New Roman"/>
          <w:b/>
          <w:sz w:val="24"/>
          <w:szCs w:val="24"/>
        </w:rPr>
        <w:t>A rebelião das massas</w:t>
      </w:r>
      <w:r w:rsidRPr="00F95BC7">
        <w:rPr>
          <w:rFonts w:ascii="Times New Roman" w:eastAsia="Times New Roman" w:hAnsi="Times New Roman" w:cs="Times New Roman"/>
          <w:sz w:val="24"/>
          <w:szCs w:val="24"/>
        </w:rPr>
        <w:t>. Tradução: Marylene Pinto Michael, revisão da tradução Maria Estela Heider Cavalheiro. 3ª Ed. São Paulo: Editora Martins Fontes (Coleção Tópicos), 2007. 300 p.</w:t>
      </w:r>
    </w:p>
    <w:p w14:paraId="4971004C" w14:textId="77777777" w:rsidR="003137C0" w:rsidRPr="00F95BC7" w:rsidRDefault="003137C0">
      <w:pPr>
        <w:shd w:val="clear" w:color="auto" w:fill="FFFFFF"/>
        <w:spacing w:after="0" w:line="240" w:lineRule="auto"/>
        <w:rPr>
          <w:rFonts w:ascii="Times New Roman" w:eastAsia="Times New Roman" w:hAnsi="Times New Roman" w:cs="Times New Roman"/>
          <w:sz w:val="24"/>
          <w:szCs w:val="24"/>
        </w:rPr>
      </w:pPr>
    </w:p>
    <w:p w14:paraId="0F255115"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PEREIRA, D. N. et al. Conservação ambiental e qualidade</w:t>
      </w:r>
      <w:r w:rsidRPr="00F95BC7">
        <w:rPr>
          <w:rFonts w:ascii="Times New Roman" w:eastAsia="Times New Roman" w:hAnsi="Times New Roman" w:cs="Times New Roman"/>
          <w:b/>
          <w:sz w:val="24"/>
          <w:szCs w:val="24"/>
        </w:rPr>
        <w:t xml:space="preserve"> </w:t>
      </w:r>
      <w:r w:rsidRPr="00F95BC7">
        <w:rPr>
          <w:rFonts w:ascii="Times New Roman" w:eastAsia="Times New Roman" w:hAnsi="Times New Roman" w:cs="Times New Roman"/>
          <w:sz w:val="24"/>
          <w:szCs w:val="24"/>
        </w:rPr>
        <w:t>de vida: uma análise qualitativa do Parque Estadual do Utinga, Belém-PA.  </w:t>
      </w:r>
      <w:r w:rsidRPr="00F95BC7">
        <w:rPr>
          <w:rFonts w:ascii="Times New Roman" w:eastAsia="Times New Roman" w:hAnsi="Times New Roman" w:cs="Times New Roman"/>
          <w:b/>
          <w:sz w:val="24"/>
          <w:szCs w:val="24"/>
        </w:rPr>
        <w:t>Cadernos de Agroecologia</w:t>
      </w:r>
      <w:r w:rsidRPr="00F95BC7">
        <w:rPr>
          <w:rFonts w:ascii="Times New Roman" w:eastAsia="Times New Roman" w:hAnsi="Times New Roman" w:cs="Times New Roman"/>
          <w:sz w:val="24"/>
          <w:szCs w:val="24"/>
        </w:rPr>
        <w:t>, [</w:t>
      </w:r>
      <w:proofErr w:type="spellStart"/>
      <w:r w:rsidRPr="00F95BC7">
        <w:rPr>
          <w:rFonts w:ascii="Times New Roman" w:eastAsia="Times New Roman" w:hAnsi="Times New Roman" w:cs="Times New Roman"/>
          <w:sz w:val="24"/>
          <w:szCs w:val="24"/>
        </w:rPr>
        <w:t>S.l</w:t>
      </w:r>
      <w:proofErr w:type="spellEnd"/>
      <w:r w:rsidRPr="00F95BC7">
        <w:rPr>
          <w:rFonts w:ascii="Times New Roman" w:eastAsia="Times New Roman" w:hAnsi="Times New Roman" w:cs="Times New Roman"/>
          <w:sz w:val="24"/>
          <w:szCs w:val="24"/>
        </w:rPr>
        <w:t xml:space="preserve">.], v. 10, n. 3, </w:t>
      </w:r>
      <w:proofErr w:type="spellStart"/>
      <w:r w:rsidRPr="00F95BC7">
        <w:rPr>
          <w:rFonts w:ascii="Times New Roman" w:eastAsia="Times New Roman" w:hAnsi="Times New Roman" w:cs="Times New Roman"/>
          <w:sz w:val="24"/>
          <w:szCs w:val="24"/>
        </w:rPr>
        <w:t>may</w:t>
      </w:r>
      <w:proofErr w:type="spellEnd"/>
      <w:r w:rsidRPr="00F95BC7">
        <w:rPr>
          <w:rFonts w:ascii="Times New Roman" w:eastAsia="Times New Roman" w:hAnsi="Times New Roman" w:cs="Times New Roman"/>
          <w:sz w:val="24"/>
          <w:szCs w:val="24"/>
        </w:rPr>
        <w:t xml:space="preserve"> 2016. Disponível em: </w:t>
      </w:r>
      <w:hyperlink r:id="rId39">
        <w:r w:rsidRPr="00F95BC7">
          <w:rPr>
            <w:rFonts w:ascii="Times New Roman" w:eastAsia="Times New Roman" w:hAnsi="Times New Roman" w:cs="Times New Roman"/>
            <w:sz w:val="24"/>
            <w:szCs w:val="24"/>
          </w:rPr>
          <w:t>http://revistas.aba-agroecologia.org.br/index.php/cad/article/view/17344</w:t>
        </w:r>
      </w:hyperlink>
      <w:r w:rsidRPr="00F95BC7">
        <w:rPr>
          <w:rFonts w:ascii="Times New Roman" w:eastAsia="Times New Roman" w:hAnsi="Times New Roman" w:cs="Times New Roman"/>
          <w:sz w:val="24"/>
          <w:szCs w:val="24"/>
        </w:rPr>
        <w:t xml:space="preserve"> Acesso em: 17 nov. 2020</w:t>
      </w:r>
    </w:p>
    <w:p w14:paraId="25A45491" w14:textId="77777777" w:rsidR="003137C0" w:rsidRPr="00F95BC7" w:rsidRDefault="003137C0">
      <w:pPr>
        <w:spacing w:after="0" w:line="240" w:lineRule="auto"/>
        <w:rPr>
          <w:rFonts w:ascii="Times New Roman" w:eastAsia="Times New Roman" w:hAnsi="Times New Roman" w:cs="Times New Roman"/>
          <w:sz w:val="24"/>
          <w:szCs w:val="24"/>
        </w:rPr>
      </w:pPr>
    </w:p>
    <w:p w14:paraId="2C4D1286"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SANTOS, F. G. F. P. dos. </w:t>
      </w:r>
      <w:r w:rsidRPr="00F95BC7">
        <w:rPr>
          <w:rFonts w:ascii="Times New Roman" w:eastAsia="Times New Roman" w:hAnsi="Times New Roman" w:cs="Times New Roman"/>
          <w:b/>
          <w:sz w:val="24"/>
          <w:szCs w:val="24"/>
        </w:rPr>
        <w:t>Governança ambiental</w:t>
      </w:r>
      <w:r w:rsidRPr="00F95BC7">
        <w:rPr>
          <w:rFonts w:ascii="Times New Roman" w:eastAsia="Times New Roman" w:hAnsi="Times New Roman" w:cs="Times New Roman"/>
          <w:sz w:val="24"/>
          <w:szCs w:val="24"/>
        </w:rPr>
        <w:t>: demonstrativo contábil para Unidades de Conservação de Ananindeua-PA. Dissertação (Dissertação em Gestão Pública) – NAEA/UFPA. Orientação:  Profa. Dra. Ligia T. L. Simonian. Belém, p. 168. 2019.</w:t>
      </w:r>
    </w:p>
    <w:p w14:paraId="23CC5BF9" w14:textId="77777777" w:rsidR="003137C0" w:rsidRPr="00F95BC7" w:rsidRDefault="003137C0">
      <w:pPr>
        <w:spacing w:after="0" w:line="240" w:lineRule="auto"/>
        <w:rPr>
          <w:rFonts w:ascii="Times New Roman" w:eastAsia="Times New Roman" w:hAnsi="Times New Roman" w:cs="Times New Roman"/>
          <w:sz w:val="24"/>
          <w:szCs w:val="24"/>
        </w:rPr>
      </w:pPr>
    </w:p>
    <w:p w14:paraId="71F12942" w14:textId="0B64BDDF"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SANTOS, F.</w:t>
      </w:r>
      <w:r w:rsidR="00C73073" w:rsidRPr="00F95BC7">
        <w:rPr>
          <w:rFonts w:ascii="Times New Roman" w:eastAsia="Times New Roman" w:hAnsi="Times New Roman" w:cs="Times New Roman"/>
          <w:sz w:val="24"/>
          <w:szCs w:val="24"/>
        </w:rPr>
        <w:t xml:space="preserve"> </w:t>
      </w:r>
      <w:r w:rsidRPr="00F95BC7">
        <w:rPr>
          <w:rFonts w:ascii="Times New Roman" w:eastAsia="Times New Roman" w:hAnsi="Times New Roman" w:cs="Times New Roman"/>
          <w:sz w:val="24"/>
          <w:szCs w:val="24"/>
        </w:rPr>
        <w:t xml:space="preserve">G. F. P. dos; SIMONIAN, L. T. L.; FERNANDES, W. </w:t>
      </w:r>
      <w:r w:rsidRPr="00F95BC7">
        <w:rPr>
          <w:rFonts w:ascii="Times New Roman" w:eastAsia="Times New Roman" w:hAnsi="Times New Roman" w:cs="Times New Roman"/>
          <w:b/>
          <w:bCs/>
          <w:sz w:val="24"/>
          <w:szCs w:val="24"/>
        </w:rPr>
        <w:t>ARIE Antônio Danúbio – Ananindeua</w:t>
      </w:r>
      <w:r w:rsidRPr="00F95BC7">
        <w:rPr>
          <w:rFonts w:ascii="Times New Roman" w:eastAsia="Times New Roman" w:hAnsi="Times New Roman" w:cs="Times New Roman"/>
          <w:sz w:val="24"/>
          <w:szCs w:val="24"/>
        </w:rPr>
        <w:t xml:space="preserve"> [GPS]. Belém: LAENA/UFPA, 2019. (Imagem). </w:t>
      </w:r>
      <w:hyperlink r:id="rId40" w:history="1">
        <w:r w:rsidRPr="00F95BC7">
          <w:rPr>
            <w:rStyle w:val="Hyperlink"/>
            <w:rFonts w:ascii="Times New Roman" w:eastAsia="Times New Roman" w:hAnsi="Times New Roman"/>
            <w:color w:val="auto"/>
            <w:sz w:val="24"/>
            <w:szCs w:val="24"/>
            <w:u w:val="none"/>
          </w:rPr>
          <w:t>http://www.naea.ufpa.br/LAENA/index.php/pt/dissertacoes-e-teses</w:t>
        </w:r>
      </w:hyperlink>
      <w:r w:rsidRPr="00F95BC7">
        <w:rPr>
          <w:rFonts w:ascii="Times New Roman" w:eastAsia="Times New Roman" w:hAnsi="Times New Roman"/>
          <w:sz w:val="24"/>
          <w:szCs w:val="24"/>
        </w:rPr>
        <w:t xml:space="preserve"> Acesso em: 02 set. 2021</w:t>
      </w:r>
    </w:p>
    <w:p w14:paraId="4BC8C5F5" w14:textId="77777777" w:rsidR="003137C0" w:rsidRPr="00F95BC7" w:rsidRDefault="003137C0">
      <w:pPr>
        <w:spacing w:after="0" w:line="240" w:lineRule="auto"/>
        <w:rPr>
          <w:rFonts w:ascii="Times New Roman" w:eastAsia="Times New Roman" w:hAnsi="Times New Roman" w:cs="Times New Roman"/>
          <w:sz w:val="24"/>
          <w:szCs w:val="24"/>
        </w:rPr>
      </w:pPr>
    </w:p>
    <w:p w14:paraId="705F20F1"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ARIE Museu do Seringal – Ananindeua [GPS]. Belém: LAENA/UFPA, 2019. (Imagem). </w:t>
      </w:r>
      <w:hyperlink r:id="rId41" w:history="1">
        <w:r w:rsidRPr="00F95BC7">
          <w:rPr>
            <w:rStyle w:val="Hyperlink"/>
            <w:rFonts w:ascii="Times New Roman" w:eastAsia="Times New Roman" w:hAnsi="Times New Roman"/>
            <w:color w:val="auto"/>
            <w:sz w:val="24"/>
            <w:szCs w:val="24"/>
            <w:u w:val="none"/>
          </w:rPr>
          <w:t>http://www.naea.ufpa.br/LAENA/index.php/pt/dissertacoes-e-teses</w:t>
        </w:r>
      </w:hyperlink>
      <w:r w:rsidRPr="00F95BC7">
        <w:rPr>
          <w:rFonts w:ascii="Times New Roman" w:eastAsia="Times New Roman" w:hAnsi="Times New Roman"/>
          <w:sz w:val="24"/>
          <w:szCs w:val="24"/>
        </w:rPr>
        <w:t xml:space="preserve"> Acesso em: 02 set. 2021</w:t>
      </w:r>
    </w:p>
    <w:p w14:paraId="0C7FAEB2" w14:textId="77777777" w:rsidR="003137C0" w:rsidRPr="00F95BC7" w:rsidRDefault="003137C0">
      <w:pPr>
        <w:spacing w:after="0" w:line="240" w:lineRule="auto"/>
        <w:rPr>
          <w:rFonts w:ascii="Times New Roman" w:eastAsia="Times New Roman" w:hAnsi="Times New Roman" w:cs="Times New Roman"/>
          <w:sz w:val="24"/>
          <w:szCs w:val="24"/>
        </w:rPr>
      </w:pPr>
    </w:p>
    <w:p w14:paraId="195DA0EF" w14:textId="53FFED9A"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SILVA, G. M.; BRASIL, F. de P. D. Governança Municipal e Gestão Social do Desenvolvimento Local: Estudo de Caso de uma Rede Organizacional de Produção Artesanal Têxtil. </w:t>
      </w:r>
      <w:r w:rsidRPr="00F95BC7">
        <w:rPr>
          <w:rFonts w:ascii="Times New Roman" w:eastAsia="Times New Roman" w:hAnsi="Times New Roman" w:cs="Times New Roman"/>
          <w:b/>
          <w:sz w:val="24"/>
          <w:szCs w:val="24"/>
        </w:rPr>
        <w:t>Anais</w:t>
      </w:r>
      <w:r w:rsidRPr="00F95BC7">
        <w:rPr>
          <w:rFonts w:ascii="Times New Roman" w:eastAsia="Times New Roman" w:hAnsi="Times New Roman" w:cs="Times New Roman"/>
          <w:sz w:val="24"/>
          <w:szCs w:val="24"/>
        </w:rPr>
        <w:t xml:space="preserve">... XXXII Encontro </w:t>
      </w:r>
      <w:r w:rsidR="004F4164" w:rsidRPr="00F95BC7">
        <w:rPr>
          <w:rFonts w:ascii="Times New Roman" w:eastAsia="Times New Roman" w:hAnsi="Times New Roman" w:cs="Times New Roman"/>
          <w:sz w:val="24"/>
          <w:szCs w:val="24"/>
        </w:rPr>
        <w:t>ANPAD</w:t>
      </w:r>
      <w:r w:rsidRPr="00F95BC7">
        <w:rPr>
          <w:rFonts w:ascii="Times New Roman" w:eastAsia="Times New Roman" w:hAnsi="Times New Roman" w:cs="Times New Roman"/>
          <w:sz w:val="24"/>
          <w:szCs w:val="24"/>
        </w:rPr>
        <w:t xml:space="preserve">. 06 a 10 de setembro de 2008. Rio de Janeiro – RJ. Disponível em: </w:t>
      </w:r>
      <w:hyperlink r:id="rId42">
        <w:r w:rsidRPr="00F95BC7">
          <w:rPr>
            <w:rFonts w:ascii="Times New Roman" w:eastAsia="Times New Roman" w:hAnsi="Times New Roman" w:cs="Times New Roman"/>
            <w:sz w:val="24"/>
            <w:szCs w:val="24"/>
          </w:rPr>
          <w:t>http://www.anpad.org.br/diversos/down_zips/38/APS-C1146.pdf</w:t>
        </w:r>
      </w:hyperlink>
      <w:r w:rsidRPr="00F95BC7">
        <w:rPr>
          <w:rFonts w:ascii="Times New Roman" w:eastAsia="Times New Roman" w:hAnsi="Times New Roman" w:cs="Times New Roman"/>
          <w:sz w:val="24"/>
          <w:szCs w:val="24"/>
        </w:rPr>
        <w:t>. Acesso em: 18 nov. 2020.</w:t>
      </w:r>
    </w:p>
    <w:p w14:paraId="37F3A221" w14:textId="77777777" w:rsidR="003137C0" w:rsidRPr="00F95BC7" w:rsidRDefault="003137C0">
      <w:pPr>
        <w:spacing w:after="0" w:line="240" w:lineRule="auto"/>
        <w:rPr>
          <w:rFonts w:ascii="Times New Roman" w:eastAsia="Times New Roman" w:hAnsi="Times New Roman" w:cs="Times New Roman"/>
          <w:sz w:val="24"/>
          <w:szCs w:val="24"/>
        </w:rPr>
      </w:pPr>
    </w:p>
    <w:p w14:paraId="189F9366"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SILVA, J.; SILVA, M. Educação Ambiental Aplicada Em Parque Estadual No Pará: Uma Perspectiva Crítica. </w:t>
      </w:r>
      <w:r w:rsidRPr="00F95BC7">
        <w:rPr>
          <w:rFonts w:ascii="Times New Roman" w:eastAsia="Times New Roman" w:hAnsi="Times New Roman" w:cs="Times New Roman"/>
          <w:b/>
          <w:sz w:val="24"/>
          <w:szCs w:val="24"/>
        </w:rPr>
        <w:t>Rev. Geogr. Acadêmica.</w:t>
      </w:r>
      <w:r w:rsidRPr="00F95BC7">
        <w:rPr>
          <w:rFonts w:ascii="Times New Roman" w:eastAsia="Times New Roman" w:hAnsi="Times New Roman" w:cs="Times New Roman"/>
          <w:sz w:val="24"/>
          <w:szCs w:val="24"/>
        </w:rPr>
        <w:t xml:space="preserve"> v.11, n.1. 2017. Disponível em: </w:t>
      </w:r>
      <w:hyperlink r:id="rId43">
        <w:r w:rsidRPr="00F95BC7">
          <w:rPr>
            <w:rFonts w:ascii="Times New Roman" w:eastAsia="Times New Roman" w:hAnsi="Times New Roman" w:cs="Times New Roman"/>
            <w:sz w:val="24"/>
            <w:szCs w:val="24"/>
          </w:rPr>
          <w:t>https://revista.ufrr.br/rga/article/viewFile/4148/2322</w:t>
        </w:r>
      </w:hyperlink>
      <w:r w:rsidRPr="00F95BC7">
        <w:rPr>
          <w:rFonts w:ascii="Times New Roman" w:eastAsia="Times New Roman" w:hAnsi="Times New Roman" w:cs="Times New Roman"/>
          <w:sz w:val="24"/>
          <w:szCs w:val="24"/>
        </w:rPr>
        <w:t xml:space="preserve"> Acesso em: </w:t>
      </w:r>
    </w:p>
    <w:p w14:paraId="3CE66781" w14:textId="77777777" w:rsidR="003137C0" w:rsidRPr="00F95BC7" w:rsidRDefault="003137C0">
      <w:pPr>
        <w:spacing w:after="0" w:line="240" w:lineRule="auto"/>
        <w:rPr>
          <w:rFonts w:ascii="Times New Roman" w:eastAsia="Times New Roman" w:hAnsi="Times New Roman" w:cs="Times New Roman"/>
          <w:sz w:val="24"/>
          <w:szCs w:val="24"/>
        </w:rPr>
      </w:pPr>
    </w:p>
    <w:p w14:paraId="6E1D8339" w14:textId="77777777" w:rsidR="003137C0" w:rsidRPr="00F95BC7" w:rsidRDefault="004F6FC7">
      <w:pPr>
        <w:spacing w:after="0" w:line="240" w:lineRule="auto"/>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SIMONIAN, L. T. L. Políticas públicas e participação social nas Reservas Extrativistas amazônicas: entre avanços, limitações e possibilidades. </w:t>
      </w:r>
      <w:r w:rsidRPr="00F95BC7">
        <w:rPr>
          <w:rFonts w:ascii="Times New Roman" w:eastAsia="Times New Roman" w:hAnsi="Times New Roman" w:cs="Times New Roman"/>
          <w:b/>
          <w:sz w:val="24"/>
          <w:szCs w:val="24"/>
        </w:rPr>
        <w:t>Desenvolvimento e Meio Ambiente</w:t>
      </w:r>
      <w:r w:rsidRPr="00F95BC7">
        <w:rPr>
          <w:rFonts w:ascii="Times New Roman" w:eastAsia="Times New Roman" w:hAnsi="Times New Roman" w:cs="Times New Roman"/>
          <w:sz w:val="24"/>
          <w:szCs w:val="24"/>
        </w:rPr>
        <w:t xml:space="preserve">. Edição especial: 30 anos do legado de Chico Mendes. Curitiba, v. 48, p.118-139, nov. 2018. </w:t>
      </w:r>
    </w:p>
    <w:p w14:paraId="7D4006DB" w14:textId="77777777" w:rsidR="003137C0" w:rsidRPr="00F95BC7" w:rsidRDefault="003137C0">
      <w:pPr>
        <w:spacing w:after="0" w:line="240" w:lineRule="auto"/>
        <w:rPr>
          <w:rFonts w:ascii="Times New Roman" w:eastAsia="Times New Roman" w:hAnsi="Times New Roman" w:cs="Times New Roman"/>
          <w:sz w:val="24"/>
          <w:szCs w:val="24"/>
        </w:rPr>
      </w:pPr>
    </w:p>
    <w:p w14:paraId="1C540828" w14:textId="66EF4487" w:rsidR="003137C0" w:rsidRPr="00F95BC7" w:rsidRDefault="004F6FC7">
      <w:pPr>
        <w:spacing w:after="0" w:line="240" w:lineRule="auto"/>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______. Pesquisa em Ciências Humanas e desenvolvimento entre as populações tradicionais amazônicas. </w:t>
      </w:r>
      <w:r w:rsidRPr="00F95BC7">
        <w:rPr>
          <w:rFonts w:ascii="Times New Roman" w:eastAsia="Times New Roman" w:hAnsi="Times New Roman" w:cs="Times New Roman"/>
          <w:b/>
          <w:sz w:val="24"/>
          <w:szCs w:val="24"/>
        </w:rPr>
        <w:t>Bol. Mus. Para. Emílio Goeldi</w:t>
      </w:r>
      <w:r w:rsidRPr="00F95BC7">
        <w:rPr>
          <w:rFonts w:ascii="Times New Roman" w:eastAsia="Times New Roman" w:hAnsi="Times New Roman" w:cs="Times New Roman"/>
          <w:sz w:val="24"/>
          <w:szCs w:val="24"/>
        </w:rPr>
        <w:t xml:space="preserve">, sér. Ciências Humanas, Belém, v. 1, n. 2, p. 119-134, maio-ago. 2006. </w:t>
      </w:r>
    </w:p>
    <w:p w14:paraId="0424CA16" w14:textId="126955B5" w:rsidR="00A860D7" w:rsidRPr="00F95BC7" w:rsidRDefault="00A860D7">
      <w:pPr>
        <w:spacing w:after="0" w:line="240" w:lineRule="auto"/>
        <w:jc w:val="both"/>
        <w:rPr>
          <w:rFonts w:ascii="Times New Roman" w:eastAsia="Times New Roman" w:hAnsi="Times New Roman" w:cs="Times New Roman"/>
          <w:sz w:val="24"/>
          <w:szCs w:val="24"/>
        </w:rPr>
      </w:pPr>
    </w:p>
    <w:p w14:paraId="6E09BE91" w14:textId="65D22774" w:rsidR="00A860D7" w:rsidRPr="00F95BC7" w:rsidRDefault="00A860D7">
      <w:pPr>
        <w:spacing w:after="0" w:line="240" w:lineRule="auto"/>
        <w:jc w:val="both"/>
        <w:rPr>
          <w:rFonts w:ascii="Times New Roman" w:eastAsia="Times New Roman" w:hAnsi="Times New Roman" w:cs="Times New Roman"/>
          <w:sz w:val="24"/>
          <w:szCs w:val="24"/>
        </w:rPr>
      </w:pPr>
      <w:r w:rsidRPr="00F95BC7">
        <w:rPr>
          <w:rFonts w:ascii="Times New Roman" w:eastAsia="Times New Roman" w:hAnsi="Times New Roman" w:cs="Times New Roman"/>
          <w:sz w:val="24"/>
          <w:szCs w:val="24"/>
        </w:rPr>
        <w:t xml:space="preserve">SPELL. </w:t>
      </w:r>
      <w:proofErr w:type="spellStart"/>
      <w:r w:rsidRPr="00F95BC7">
        <w:rPr>
          <w:rFonts w:ascii="Times New Roman" w:eastAsia="Times New Roman" w:hAnsi="Times New Roman" w:cs="Times New Roman"/>
          <w:sz w:val="24"/>
          <w:szCs w:val="24"/>
        </w:rPr>
        <w:t>Scientific</w:t>
      </w:r>
      <w:proofErr w:type="spellEnd"/>
      <w:r w:rsidRPr="00F95BC7">
        <w:rPr>
          <w:rFonts w:ascii="Times New Roman" w:eastAsia="Times New Roman" w:hAnsi="Times New Roman" w:cs="Times New Roman"/>
          <w:sz w:val="24"/>
          <w:szCs w:val="24"/>
        </w:rPr>
        <w:t xml:space="preserve"> </w:t>
      </w:r>
      <w:proofErr w:type="spellStart"/>
      <w:r w:rsidRPr="00F95BC7">
        <w:rPr>
          <w:rFonts w:ascii="Times New Roman" w:eastAsia="Times New Roman" w:hAnsi="Times New Roman" w:cs="Times New Roman"/>
          <w:sz w:val="24"/>
          <w:szCs w:val="24"/>
        </w:rPr>
        <w:t>Periodicals</w:t>
      </w:r>
      <w:proofErr w:type="spellEnd"/>
      <w:r w:rsidRPr="00F95BC7">
        <w:rPr>
          <w:rFonts w:ascii="Times New Roman" w:eastAsia="Times New Roman" w:hAnsi="Times New Roman" w:cs="Times New Roman"/>
          <w:sz w:val="24"/>
          <w:szCs w:val="24"/>
        </w:rPr>
        <w:t xml:space="preserve"> </w:t>
      </w:r>
      <w:proofErr w:type="spellStart"/>
      <w:r w:rsidRPr="00F95BC7">
        <w:rPr>
          <w:rFonts w:ascii="Times New Roman" w:eastAsia="Times New Roman" w:hAnsi="Times New Roman" w:cs="Times New Roman"/>
          <w:sz w:val="24"/>
          <w:szCs w:val="24"/>
        </w:rPr>
        <w:t>Electronic</w:t>
      </w:r>
      <w:proofErr w:type="spellEnd"/>
      <w:r w:rsidRPr="00F95BC7">
        <w:rPr>
          <w:rFonts w:ascii="Times New Roman" w:eastAsia="Times New Roman" w:hAnsi="Times New Roman" w:cs="Times New Roman"/>
          <w:sz w:val="24"/>
          <w:szCs w:val="24"/>
        </w:rPr>
        <w:t xml:space="preserve"> Library. </w:t>
      </w:r>
      <w:r w:rsidRPr="00F95BC7">
        <w:rPr>
          <w:rFonts w:ascii="Times New Roman" w:eastAsia="Times New Roman" w:hAnsi="Times New Roman" w:cs="Times New Roman"/>
          <w:b/>
          <w:bCs/>
          <w:sz w:val="24"/>
          <w:szCs w:val="24"/>
        </w:rPr>
        <w:t>Consulta “</w:t>
      </w:r>
      <w:r w:rsidR="00AE6E01" w:rsidRPr="00F95BC7">
        <w:rPr>
          <w:rFonts w:ascii="Times New Roman" w:eastAsia="Times New Roman" w:hAnsi="Times New Roman" w:cs="Times New Roman"/>
          <w:b/>
          <w:bCs/>
          <w:sz w:val="24"/>
          <w:szCs w:val="24"/>
        </w:rPr>
        <w:t>governança</w:t>
      </w:r>
      <w:r w:rsidRPr="00F95BC7">
        <w:rPr>
          <w:rFonts w:ascii="Times New Roman" w:eastAsia="Times New Roman" w:hAnsi="Times New Roman" w:cs="Times New Roman"/>
          <w:b/>
          <w:bCs/>
          <w:sz w:val="24"/>
          <w:szCs w:val="24"/>
        </w:rPr>
        <w:t>”</w:t>
      </w:r>
      <w:r w:rsidR="00AE6E01" w:rsidRPr="00F95BC7">
        <w:rPr>
          <w:rFonts w:ascii="Times New Roman" w:eastAsia="Times New Roman" w:hAnsi="Times New Roman" w:cs="Times New Roman"/>
          <w:b/>
          <w:bCs/>
          <w:sz w:val="24"/>
          <w:szCs w:val="24"/>
        </w:rPr>
        <w:t xml:space="preserve"> &amp; “municipal”.</w:t>
      </w:r>
      <w:r w:rsidRPr="00F95BC7">
        <w:rPr>
          <w:rFonts w:ascii="Times New Roman" w:eastAsia="Times New Roman" w:hAnsi="Times New Roman" w:cs="Times New Roman"/>
          <w:sz w:val="24"/>
          <w:szCs w:val="24"/>
        </w:rPr>
        <w:t xml:space="preserve"> Disponível em: </w:t>
      </w:r>
      <w:hyperlink r:id="rId44" w:history="1">
        <w:r w:rsidRPr="00F95BC7">
          <w:rPr>
            <w:rStyle w:val="Hyperlink"/>
            <w:rFonts w:ascii="Times New Roman" w:hAnsi="Times New Roman" w:cs="Times New Roman"/>
            <w:color w:val="auto"/>
            <w:sz w:val="24"/>
            <w:szCs w:val="24"/>
            <w:u w:val="none"/>
          </w:rPr>
          <w:t xml:space="preserve">Resultado Busca :: SPELL – </w:t>
        </w:r>
        <w:proofErr w:type="spellStart"/>
        <w:r w:rsidRPr="00F95BC7">
          <w:rPr>
            <w:rStyle w:val="Hyperlink"/>
            <w:rFonts w:ascii="Times New Roman" w:hAnsi="Times New Roman" w:cs="Times New Roman"/>
            <w:color w:val="auto"/>
            <w:sz w:val="24"/>
            <w:szCs w:val="24"/>
            <w:u w:val="none"/>
          </w:rPr>
          <w:t>Scientific</w:t>
        </w:r>
        <w:proofErr w:type="spellEnd"/>
        <w:r w:rsidRPr="00F95BC7">
          <w:rPr>
            <w:rStyle w:val="Hyperlink"/>
            <w:rFonts w:ascii="Times New Roman" w:hAnsi="Times New Roman" w:cs="Times New Roman"/>
            <w:color w:val="auto"/>
            <w:sz w:val="24"/>
            <w:szCs w:val="24"/>
            <w:u w:val="none"/>
          </w:rPr>
          <w:t xml:space="preserve"> </w:t>
        </w:r>
        <w:proofErr w:type="spellStart"/>
        <w:r w:rsidRPr="00F95BC7">
          <w:rPr>
            <w:rStyle w:val="Hyperlink"/>
            <w:rFonts w:ascii="Times New Roman" w:hAnsi="Times New Roman" w:cs="Times New Roman"/>
            <w:color w:val="auto"/>
            <w:sz w:val="24"/>
            <w:szCs w:val="24"/>
            <w:u w:val="none"/>
          </w:rPr>
          <w:t>Periodicals</w:t>
        </w:r>
        <w:proofErr w:type="spellEnd"/>
        <w:r w:rsidRPr="00F95BC7">
          <w:rPr>
            <w:rStyle w:val="Hyperlink"/>
            <w:rFonts w:ascii="Times New Roman" w:hAnsi="Times New Roman" w:cs="Times New Roman"/>
            <w:color w:val="auto"/>
            <w:sz w:val="24"/>
            <w:szCs w:val="24"/>
            <w:u w:val="none"/>
          </w:rPr>
          <w:t xml:space="preserve"> </w:t>
        </w:r>
        <w:proofErr w:type="spellStart"/>
        <w:r w:rsidRPr="00F95BC7">
          <w:rPr>
            <w:rStyle w:val="Hyperlink"/>
            <w:rFonts w:ascii="Times New Roman" w:hAnsi="Times New Roman" w:cs="Times New Roman"/>
            <w:color w:val="auto"/>
            <w:sz w:val="24"/>
            <w:szCs w:val="24"/>
            <w:u w:val="none"/>
          </w:rPr>
          <w:t>Electronic</w:t>
        </w:r>
        <w:proofErr w:type="spellEnd"/>
        <w:r w:rsidRPr="00F95BC7">
          <w:rPr>
            <w:rStyle w:val="Hyperlink"/>
            <w:rFonts w:ascii="Times New Roman" w:hAnsi="Times New Roman" w:cs="Times New Roman"/>
            <w:color w:val="auto"/>
            <w:sz w:val="24"/>
            <w:szCs w:val="24"/>
            <w:u w:val="none"/>
          </w:rPr>
          <w:t xml:space="preserve"> Library</w:t>
        </w:r>
      </w:hyperlink>
      <w:r w:rsidRPr="00F95BC7">
        <w:rPr>
          <w:rFonts w:ascii="Times New Roman" w:hAnsi="Times New Roman" w:cs="Times New Roman"/>
          <w:sz w:val="24"/>
          <w:szCs w:val="24"/>
        </w:rPr>
        <w:t>.</w:t>
      </w:r>
      <w:r w:rsidRPr="00F95BC7">
        <w:rPr>
          <w:rFonts w:ascii="Times New Roman" w:eastAsia="Times New Roman" w:hAnsi="Times New Roman" w:cs="Times New Roman"/>
          <w:sz w:val="24"/>
          <w:szCs w:val="24"/>
        </w:rPr>
        <w:t xml:space="preserve"> Acesso em: 01/04/2021.</w:t>
      </w:r>
    </w:p>
    <w:p w14:paraId="567E2BB7" w14:textId="415FEA1D" w:rsidR="00A860D7" w:rsidRPr="00F95BC7" w:rsidRDefault="00A860D7">
      <w:pPr>
        <w:spacing w:after="0" w:line="240" w:lineRule="auto"/>
        <w:jc w:val="both"/>
        <w:rPr>
          <w:rFonts w:ascii="Times New Roman" w:eastAsia="Times New Roman" w:hAnsi="Times New Roman" w:cs="Times New Roman"/>
          <w:sz w:val="24"/>
          <w:szCs w:val="24"/>
        </w:rPr>
      </w:pPr>
    </w:p>
    <w:sectPr w:rsidR="00A860D7" w:rsidRPr="00F95BC7" w:rsidSect="00A60268">
      <w:footerReference w:type="default" r:id="rId45"/>
      <w:pgSz w:w="11906" w:h="16838"/>
      <w:pgMar w:top="1701"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C4ED1" w14:textId="77777777" w:rsidR="002C4F02" w:rsidRDefault="002C4F02">
      <w:pPr>
        <w:spacing w:line="240" w:lineRule="auto"/>
      </w:pPr>
      <w:r>
        <w:separator/>
      </w:r>
    </w:p>
  </w:endnote>
  <w:endnote w:type="continuationSeparator" w:id="0">
    <w:p w14:paraId="605DA557" w14:textId="77777777" w:rsidR="002C4F02" w:rsidRDefault="002C4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96480" w14:textId="77777777" w:rsidR="00AE6E01" w:rsidRDefault="00AE6E01">
    <w:pP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p w14:paraId="182131EF" w14:textId="77777777" w:rsidR="00AE6E01" w:rsidRDefault="00AE6E01">
    <w:pP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7BDB7" w14:textId="77777777" w:rsidR="002C4F02" w:rsidRDefault="002C4F02">
      <w:pPr>
        <w:spacing w:after="0" w:line="240" w:lineRule="auto"/>
      </w:pPr>
      <w:r>
        <w:separator/>
      </w:r>
    </w:p>
  </w:footnote>
  <w:footnote w:type="continuationSeparator" w:id="0">
    <w:p w14:paraId="0D9D7310" w14:textId="77777777" w:rsidR="002C4F02" w:rsidRDefault="002C4F02">
      <w:pPr>
        <w:spacing w:after="0" w:line="240" w:lineRule="auto"/>
      </w:pPr>
      <w:r>
        <w:continuationSeparator/>
      </w:r>
    </w:p>
  </w:footnote>
  <w:footnote w:id="1">
    <w:p w14:paraId="43F3AE89" w14:textId="77777777" w:rsidR="00AE6E01" w:rsidRDefault="00AE6E01">
      <w:pP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highlight w:val="white"/>
        </w:rPr>
        <w:t>Ananindeua, Belém, Benevides, Castanhal, Marituba, Santa Bárbara do Pará e Santa Izabel do Pará, Lei complementar nº 076/2011.</w:t>
      </w:r>
    </w:p>
  </w:footnote>
  <w:footnote w:id="2">
    <w:p w14:paraId="767B87DF" w14:textId="77777777" w:rsidR="00AE6E01" w:rsidRDefault="00AE6E01">
      <w:pPr>
        <w:spacing w:after="0" w:line="240" w:lineRule="auto"/>
        <w:rPr>
          <w:color w:val="000000"/>
          <w:sz w:val="16"/>
          <w:szCs w:val="16"/>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Possui 525.566 habitantes (IBGE, 2020).</w:t>
      </w:r>
    </w:p>
  </w:footnote>
  <w:footnote w:id="3">
    <w:p w14:paraId="7C186880" w14:textId="77777777" w:rsidR="00AE6E01" w:rsidRDefault="00AE6E01">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UFPA; UFRA; Museu Paraense Emílio Goeldi; IFPA; Colégio Militar de Belém; EMBRAPA; e Instituto Nacional de Pesquisas Espaciais.</w:t>
      </w:r>
    </w:p>
  </w:footnote>
  <w:footnote w:id="4">
    <w:p w14:paraId="4F6DE551" w14:textId="77777777" w:rsidR="00AE6E01" w:rsidRDefault="00AE6E01">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Sede do Instituto Nacional de Colonização e Reforma Agrária; do Instituto de Desenvolvimento Florestal e da Biodiversidade do Estado do Pará; da Companhia de Saneamento do Pará; a Secretaria Municipal de Saneamento de Belém; a Superintendência Regional no Pará da Polícia Federal; o Hospital da Aeronáutica; Superintendência Federal de Agricultura no Pará; e Superintendência Regional do Departamento Nacional de Infraestrutura de Transportes.</w:t>
      </w:r>
    </w:p>
  </w:footnote>
  <w:footnote w:id="5">
    <w:p w14:paraId="46034724" w14:textId="77777777" w:rsidR="00AE6E01" w:rsidRDefault="00AE6E01">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 Clube de Futebol da Tuna Luso Brasileiro; o Centro de Treinamento Raul Aguilera Paysandu S.C.; o Clube Assembleia Paraense; a Sede da Associação dos Servidores da Delegacia Federal de Agricultura no Pará; e a Cidade Folia Complexo de Shows.</w:t>
      </w:r>
    </w:p>
  </w:footnote>
  <w:footnote w:id="6">
    <w:p w14:paraId="06CD0D71" w14:textId="77777777" w:rsidR="00AE6E01" w:rsidRDefault="00AE6E01">
      <w:pP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Localização do Sítio Histórico do Engenho do Murutucu.</w:t>
      </w:r>
    </w:p>
  </w:footnote>
  <w:footnote w:id="7">
    <w:p w14:paraId="038967F8" w14:textId="77777777" w:rsidR="00AE6E01" w:rsidRDefault="00AE6E01">
      <w:pP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Até a finalização do artigo em 15/02/2021</w:t>
      </w:r>
    </w:p>
  </w:footnote>
  <w:footnote w:id="8">
    <w:p w14:paraId="016C98CD" w14:textId="77777777" w:rsidR="00A60268" w:rsidRDefault="00A60268" w:rsidP="00A60268">
      <w:pP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 empresa Guamá-tratamento de Resíduos terá as atividades encerradas após a conclusão de nova licitação intermunicipal para tratamento dos resíduos sólidos da Região Metropolitana de Belém.</w:t>
      </w:r>
    </w:p>
  </w:footnote>
  <w:footnote w:id="9">
    <w:p w14:paraId="3E2E9483" w14:textId="77777777" w:rsidR="00A60268" w:rsidRDefault="00A60268" w:rsidP="00A60268">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Portaria 11/2020 – DOE 34.088, publicada em 13 de janeiro de 2020.</w:t>
      </w:r>
    </w:p>
  </w:footnote>
  <w:footnote w:id="10">
    <w:p w14:paraId="1F1E7EE6" w14:textId="1D59FD7D" w:rsidR="00AE6E01" w:rsidRDefault="00AE6E01">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Portaria 858, de 23 de novembro de 2016-IDEFLOR-BIO (DOE nº 33257 – 24/11/2016).</w:t>
      </w:r>
    </w:p>
  </w:footnote>
  <w:footnote w:id="11">
    <w:p w14:paraId="4F4F2893" w14:textId="10C58759" w:rsidR="00AE6E01" w:rsidRPr="0066199A" w:rsidRDefault="00AE6E01">
      <w:pPr>
        <w:pStyle w:val="Textodenotaderodap"/>
        <w:rPr>
          <w:lang w:val="pt-BR"/>
        </w:rPr>
      </w:pPr>
      <w:r>
        <w:rPr>
          <w:rStyle w:val="Refdenotaderodap"/>
        </w:rPr>
        <w:footnoteRef/>
      </w:r>
      <w:r>
        <w:t xml:space="preserve"> </w:t>
      </w:r>
      <w:r>
        <w:rPr>
          <w:lang w:val="pt-BR"/>
        </w:rPr>
        <w:t xml:space="preserve">Até </w:t>
      </w:r>
      <w:r>
        <w:rPr>
          <w:rFonts w:ascii="Times New Roman" w:eastAsia="Times New Roman" w:hAnsi="Times New Roman"/>
          <w:color w:val="000000"/>
        </w:rPr>
        <w:t>15/02/202</w:t>
      </w:r>
      <w:r w:rsidRPr="0066199A">
        <w:rPr>
          <w:rFonts w:ascii="Times New Roman" w:eastAsia="Times New Roman" w:hAnsi="Times New Roman"/>
          <w:color w:val="000000"/>
          <w:highlight w:val="yellow"/>
        </w:rPr>
        <w:t>1</w:t>
      </w:r>
      <w:r w:rsidR="0066199A" w:rsidRPr="0066199A">
        <w:rPr>
          <w:rFonts w:ascii="Times New Roman" w:eastAsia="Times New Roman" w:hAnsi="Times New Roman"/>
          <w:color w:val="000000"/>
          <w:highlight w:val="yellow"/>
          <w:lang w:val="pt-B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40ED8"/>
    <w:multiLevelType w:val="hybridMultilevel"/>
    <w:tmpl w:val="6CD82F80"/>
    <w:lvl w:ilvl="0" w:tplc="D898F8E0">
      <w:start w:val="5"/>
      <w:numFmt w:val="bullet"/>
      <w:lvlText w:val=""/>
      <w:lvlJc w:val="left"/>
      <w:pPr>
        <w:ind w:left="1068" w:hanging="360"/>
      </w:pPr>
      <w:rPr>
        <w:rFonts w:ascii="Symbol" w:eastAsia="Times New Roman"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15:restartNumberingAfterBreak="0">
    <w:nsid w:val="43F60322"/>
    <w:multiLevelType w:val="multilevel"/>
    <w:tmpl w:val="8252F06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60"/>
    <w:rsid w:val="00000D5E"/>
    <w:rsid w:val="0000236C"/>
    <w:rsid w:val="00010AF1"/>
    <w:rsid w:val="00023FD6"/>
    <w:rsid w:val="00024B50"/>
    <w:rsid w:val="00031D1B"/>
    <w:rsid w:val="00043EAB"/>
    <w:rsid w:val="000463CE"/>
    <w:rsid w:val="00060DD1"/>
    <w:rsid w:val="00076A12"/>
    <w:rsid w:val="00084937"/>
    <w:rsid w:val="000A4A5B"/>
    <w:rsid w:val="000A7F90"/>
    <w:rsid w:val="000B3046"/>
    <w:rsid w:val="000B43BD"/>
    <w:rsid w:val="000D5C5D"/>
    <w:rsid w:val="000D65CD"/>
    <w:rsid w:val="000D6FFE"/>
    <w:rsid w:val="000E39D7"/>
    <w:rsid w:val="000F4AB9"/>
    <w:rsid w:val="00103224"/>
    <w:rsid w:val="00115D6A"/>
    <w:rsid w:val="00125EE5"/>
    <w:rsid w:val="00125FE5"/>
    <w:rsid w:val="00140194"/>
    <w:rsid w:val="00141E1D"/>
    <w:rsid w:val="00142C1E"/>
    <w:rsid w:val="0014419F"/>
    <w:rsid w:val="001545E0"/>
    <w:rsid w:val="00155A4E"/>
    <w:rsid w:val="001653EF"/>
    <w:rsid w:val="00166B5B"/>
    <w:rsid w:val="0016729E"/>
    <w:rsid w:val="00177111"/>
    <w:rsid w:val="00177A11"/>
    <w:rsid w:val="00181CF8"/>
    <w:rsid w:val="001965D1"/>
    <w:rsid w:val="001A5933"/>
    <w:rsid w:val="001A7407"/>
    <w:rsid w:val="001D1DA6"/>
    <w:rsid w:val="001D204D"/>
    <w:rsid w:val="001D5390"/>
    <w:rsid w:val="001E0F29"/>
    <w:rsid w:val="001E1635"/>
    <w:rsid w:val="001E3C9D"/>
    <w:rsid w:val="001E69E4"/>
    <w:rsid w:val="001F1415"/>
    <w:rsid w:val="0020014F"/>
    <w:rsid w:val="00210AFE"/>
    <w:rsid w:val="00215503"/>
    <w:rsid w:val="002358D0"/>
    <w:rsid w:val="002455B6"/>
    <w:rsid w:val="0024766D"/>
    <w:rsid w:val="00253F40"/>
    <w:rsid w:val="002541A9"/>
    <w:rsid w:val="00254A60"/>
    <w:rsid w:val="002566DE"/>
    <w:rsid w:val="002571E7"/>
    <w:rsid w:val="00273A87"/>
    <w:rsid w:val="0027629D"/>
    <w:rsid w:val="00277FD7"/>
    <w:rsid w:val="002B05E6"/>
    <w:rsid w:val="002B0A32"/>
    <w:rsid w:val="002B3517"/>
    <w:rsid w:val="002B4E24"/>
    <w:rsid w:val="002C4F02"/>
    <w:rsid w:val="002C79E6"/>
    <w:rsid w:val="002D10BC"/>
    <w:rsid w:val="002D7B96"/>
    <w:rsid w:val="002E6352"/>
    <w:rsid w:val="002F6109"/>
    <w:rsid w:val="003117D3"/>
    <w:rsid w:val="003137C0"/>
    <w:rsid w:val="00314B79"/>
    <w:rsid w:val="00316B4B"/>
    <w:rsid w:val="00317DA4"/>
    <w:rsid w:val="003243AD"/>
    <w:rsid w:val="0033307B"/>
    <w:rsid w:val="003339A3"/>
    <w:rsid w:val="00333C50"/>
    <w:rsid w:val="0033622D"/>
    <w:rsid w:val="003433C5"/>
    <w:rsid w:val="003476C9"/>
    <w:rsid w:val="00357DA4"/>
    <w:rsid w:val="00361424"/>
    <w:rsid w:val="00366BF9"/>
    <w:rsid w:val="00370608"/>
    <w:rsid w:val="00370760"/>
    <w:rsid w:val="00372577"/>
    <w:rsid w:val="00373E7F"/>
    <w:rsid w:val="00377E1B"/>
    <w:rsid w:val="00394AFB"/>
    <w:rsid w:val="003A52CF"/>
    <w:rsid w:val="003B302B"/>
    <w:rsid w:val="003C1D52"/>
    <w:rsid w:val="003C6A1A"/>
    <w:rsid w:val="003D618C"/>
    <w:rsid w:val="003E0A48"/>
    <w:rsid w:val="003E5F4E"/>
    <w:rsid w:val="003E6A25"/>
    <w:rsid w:val="003E74C5"/>
    <w:rsid w:val="003F000D"/>
    <w:rsid w:val="003F086A"/>
    <w:rsid w:val="003F1370"/>
    <w:rsid w:val="003F1690"/>
    <w:rsid w:val="003F19BB"/>
    <w:rsid w:val="0040689B"/>
    <w:rsid w:val="00413968"/>
    <w:rsid w:val="00426A3B"/>
    <w:rsid w:val="00427C90"/>
    <w:rsid w:val="0043122C"/>
    <w:rsid w:val="0043194C"/>
    <w:rsid w:val="00436DF4"/>
    <w:rsid w:val="004372C6"/>
    <w:rsid w:val="0044263C"/>
    <w:rsid w:val="004446D6"/>
    <w:rsid w:val="004526C6"/>
    <w:rsid w:val="00455265"/>
    <w:rsid w:val="00455741"/>
    <w:rsid w:val="00461F4E"/>
    <w:rsid w:val="004662E3"/>
    <w:rsid w:val="00495704"/>
    <w:rsid w:val="004A0EAD"/>
    <w:rsid w:val="004A11EE"/>
    <w:rsid w:val="004A5B24"/>
    <w:rsid w:val="004A655B"/>
    <w:rsid w:val="004A76FA"/>
    <w:rsid w:val="004B4D5F"/>
    <w:rsid w:val="004B723F"/>
    <w:rsid w:val="004C0EC0"/>
    <w:rsid w:val="004C6481"/>
    <w:rsid w:val="004C7FE5"/>
    <w:rsid w:val="004E6CE7"/>
    <w:rsid w:val="004E7026"/>
    <w:rsid w:val="004F2D66"/>
    <w:rsid w:val="004F4164"/>
    <w:rsid w:val="004F6FC7"/>
    <w:rsid w:val="00501347"/>
    <w:rsid w:val="0050220E"/>
    <w:rsid w:val="005040AC"/>
    <w:rsid w:val="005040D2"/>
    <w:rsid w:val="005057B2"/>
    <w:rsid w:val="005112BC"/>
    <w:rsid w:val="00512E91"/>
    <w:rsid w:val="0052080A"/>
    <w:rsid w:val="0052135E"/>
    <w:rsid w:val="005261AB"/>
    <w:rsid w:val="005512E0"/>
    <w:rsid w:val="00552971"/>
    <w:rsid w:val="005578C8"/>
    <w:rsid w:val="00575475"/>
    <w:rsid w:val="00577244"/>
    <w:rsid w:val="0059570D"/>
    <w:rsid w:val="005B1C38"/>
    <w:rsid w:val="005B2272"/>
    <w:rsid w:val="005C6F49"/>
    <w:rsid w:val="005D2432"/>
    <w:rsid w:val="005D4E30"/>
    <w:rsid w:val="005E66E3"/>
    <w:rsid w:val="005F2AF8"/>
    <w:rsid w:val="005F7865"/>
    <w:rsid w:val="00624C80"/>
    <w:rsid w:val="00630B71"/>
    <w:rsid w:val="00635E85"/>
    <w:rsid w:val="00636F50"/>
    <w:rsid w:val="00641D81"/>
    <w:rsid w:val="00643F51"/>
    <w:rsid w:val="00645A9B"/>
    <w:rsid w:val="00654E92"/>
    <w:rsid w:val="0066199A"/>
    <w:rsid w:val="00664123"/>
    <w:rsid w:val="00664693"/>
    <w:rsid w:val="00666CEB"/>
    <w:rsid w:val="00666FCB"/>
    <w:rsid w:val="00681B21"/>
    <w:rsid w:val="006822AC"/>
    <w:rsid w:val="00686362"/>
    <w:rsid w:val="00687BF1"/>
    <w:rsid w:val="006A48C0"/>
    <w:rsid w:val="006B1963"/>
    <w:rsid w:val="006B2A0E"/>
    <w:rsid w:val="006B3236"/>
    <w:rsid w:val="006E327D"/>
    <w:rsid w:val="006E3EAD"/>
    <w:rsid w:val="006F04B8"/>
    <w:rsid w:val="006F2FE8"/>
    <w:rsid w:val="007003B3"/>
    <w:rsid w:val="00704611"/>
    <w:rsid w:val="007065FE"/>
    <w:rsid w:val="007121A6"/>
    <w:rsid w:val="0072479A"/>
    <w:rsid w:val="00756DFE"/>
    <w:rsid w:val="00760D3A"/>
    <w:rsid w:val="00761185"/>
    <w:rsid w:val="007636D5"/>
    <w:rsid w:val="00763ED5"/>
    <w:rsid w:val="007650D4"/>
    <w:rsid w:val="00786DE6"/>
    <w:rsid w:val="007902AA"/>
    <w:rsid w:val="00793186"/>
    <w:rsid w:val="00793FCF"/>
    <w:rsid w:val="007978B9"/>
    <w:rsid w:val="007B5861"/>
    <w:rsid w:val="007C3F6C"/>
    <w:rsid w:val="007D34C6"/>
    <w:rsid w:val="007D374A"/>
    <w:rsid w:val="007D6514"/>
    <w:rsid w:val="007E33CB"/>
    <w:rsid w:val="008013F4"/>
    <w:rsid w:val="00820093"/>
    <w:rsid w:val="00820134"/>
    <w:rsid w:val="00822178"/>
    <w:rsid w:val="00832481"/>
    <w:rsid w:val="00834829"/>
    <w:rsid w:val="00843FC6"/>
    <w:rsid w:val="0084598A"/>
    <w:rsid w:val="00845E97"/>
    <w:rsid w:val="0084659C"/>
    <w:rsid w:val="00852340"/>
    <w:rsid w:val="0085315D"/>
    <w:rsid w:val="00877C29"/>
    <w:rsid w:val="008816BB"/>
    <w:rsid w:val="008979FF"/>
    <w:rsid w:val="008A4DC8"/>
    <w:rsid w:val="008A5FBD"/>
    <w:rsid w:val="008B0DE1"/>
    <w:rsid w:val="008D0C7F"/>
    <w:rsid w:val="008D6E02"/>
    <w:rsid w:val="008D75CF"/>
    <w:rsid w:val="008D7A3A"/>
    <w:rsid w:val="008D7A69"/>
    <w:rsid w:val="008F3258"/>
    <w:rsid w:val="008F41A5"/>
    <w:rsid w:val="008F578B"/>
    <w:rsid w:val="008F6CA4"/>
    <w:rsid w:val="008F7156"/>
    <w:rsid w:val="008F780F"/>
    <w:rsid w:val="00903568"/>
    <w:rsid w:val="00905414"/>
    <w:rsid w:val="00905AD6"/>
    <w:rsid w:val="009122F7"/>
    <w:rsid w:val="00913245"/>
    <w:rsid w:val="00913EC8"/>
    <w:rsid w:val="0091564D"/>
    <w:rsid w:val="009261F3"/>
    <w:rsid w:val="00927428"/>
    <w:rsid w:val="00927CBE"/>
    <w:rsid w:val="00927E6C"/>
    <w:rsid w:val="00931D42"/>
    <w:rsid w:val="009408B5"/>
    <w:rsid w:val="00942AC8"/>
    <w:rsid w:val="00942CAA"/>
    <w:rsid w:val="0094793C"/>
    <w:rsid w:val="0095383C"/>
    <w:rsid w:val="009553C5"/>
    <w:rsid w:val="00963313"/>
    <w:rsid w:val="00963F33"/>
    <w:rsid w:val="00974537"/>
    <w:rsid w:val="00986576"/>
    <w:rsid w:val="00992B64"/>
    <w:rsid w:val="00994E7A"/>
    <w:rsid w:val="009B4A4E"/>
    <w:rsid w:val="009B4E19"/>
    <w:rsid w:val="009B6048"/>
    <w:rsid w:val="009C090C"/>
    <w:rsid w:val="009C4AB2"/>
    <w:rsid w:val="009D496B"/>
    <w:rsid w:val="009E4B41"/>
    <w:rsid w:val="009E775A"/>
    <w:rsid w:val="009F14F9"/>
    <w:rsid w:val="009F7F4A"/>
    <w:rsid w:val="00A03D23"/>
    <w:rsid w:val="00A04B12"/>
    <w:rsid w:val="00A05A01"/>
    <w:rsid w:val="00A20E0A"/>
    <w:rsid w:val="00A2609B"/>
    <w:rsid w:val="00A26D85"/>
    <w:rsid w:val="00A30885"/>
    <w:rsid w:val="00A34124"/>
    <w:rsid w:val="00A4264B"/>
    <w:rsid w:val="00A5228B"/>
    <w:rsid w:val="00A53374"/>
    <w:rsid w:val="00A55720"/>
    <w:rsid w:val="00A60268"/>
    <w:rsid w:val="00A65F4D"/>
    <w:rsid w:val="00A66122"/>
    <w:rsid w:val="00A860D7"/>
    <w:rsid w:val="00AA20F2"/>
    <w:rsid w:val="00AA31BA"/>
    <w:rsid w:val="00AA655E"/>
    <w:rsid w:val="00AC13EB"/>
    <w:rsid w:val="00AD1466"/>
    <w:rsid w:val="00AD5DB1"/>
    <w:rsid w:val="00AD6C91"/>
    <w:rsid w:val="00AE033C"/>
    <w:rsid w:val="00AE45D4"/>
    <w:rsid w:val="00AE6E01"/>
    <w:rsid w:val="00AF09E9"/>
    <w:rsid w:val="00B0514F"/>
    <w:rsid w:val="00B103B3"/>
    <w:rsid w:val="00B13F61"/>
    <w:rsid w:val="00B22454"/>
    <w:rsid w:val="00B30FF8"/>
    <w:rsid w:val="00B31788"/>
    <w:rsid w:val="00B445B0"/>
    <w:rsid w:val="00B46064"/>
    <w:rsid w:val="00B46B89"/>
    <w:rsid w:val="00B55002"/>
    <w:rsid w:val="00B76364"/>
    <w:rsid w:val="00B83569"/>
    <w:rsid w:val="00B85C04"/>
    <w:rsid w:val="00B8723C"/>
    <w:rsid w:val="00B96E8D"/>
    <w:rsid w:val="00BA5FFF"/>
    <w:rsid w:val="00BB6787"/>
    <w:rsid w:val="00BC3E91"/>
    <w:rsid w:val="00BD0312"/>
    <w:rsid w:val="00BD4F85"/>
    <w:rsid w:val="00BD6BDF"/>
    <w:rsid w:val="00BE346D"/>
    <w:rsid w:val="00BE3CA1"/>
    <w:rsid w:val="00BE566A"/>
    <w:rsid w:val="00BE69FE"/>
    <w:rsid w:val="00BF0044"/>
    <w:rsid w:val="00BF01F3"/>
    <w:rsid w:val="00BF6974"/>
    <w:rsid w:val="00C021A2"/>
    <w:rsid w:val="00C041CB"/>
    <w:rsid w:val="00C04442"/>
    <w:rsid w:val="00C047F0"/>
    <w:rsid w:val="00C0560A"/>
    <w:rsid w:val="00C11329"/>
    <w:rsid w:val="00C11467"/>
    <w:rsid w:val="00C137DC"/>
    <w:rsid w:val="00C17C2B"/>
    <w:rsid w:val="00C3280E"/>
    <w:rsid w:val="00C46BD2"/>
    <w:rsid w:val="00C51A0E"/>
    <w:rsid w:val="00C57093"/>
    <w:rsid w:val="00C66B03"/>
    <w:rsid w:val="00C71562"/>
    <w:rsid w:val="00C726F4"/>
    <w:rsid w:val="00C73073"/>
    <w:rsid w:val="00C87C12"/>
    <w:rsid w:val="00CA451B"/>
    <w:rsid w:val="00CA6E7B"/>
    <w:rsid w:val="00CB0417"/>
    <w:rsid w:val="00CB3624"/>
    <w:rsid w:val="00CB7018"/>
    <w:rsid w:val="00CC2929"/>
    <w:rsid w:val="00CC2A43"/>
    <w:rsid w:val="00CC75DB"/>
    <w:rsid w:val="00CD0A26"/>
    <w:rsid w:val="00CD3ABE"/>
    <w:rsid w:val="00CE53EE"/>
    <w:rsid w:val="00CE57A6"/>
    <w:rsid w:val="00CE6FC5"/>
    <w:rsid w:val="00CF0B82"/>
    <w:rsid w:val="00CF1554"/>
    <w:rsid w:val="00D03BBF"/>
    <w:rsid w:val="00D051B1"/>
    <w:rsid w:val="00D11E27"/>
    <w:rsid w:val="00D1445F"/>
    <w:rsid w:val="00D27925"/>
    <w:rsid w:val="00D301A0"/>
    <w:rsid w:val="00D336AC"/>
    <w:rsid w:val="00D41B0B"/>
    <w:rsid w:val="00D47AAA"/>
    <w:rsid w:val="00D47D9B"/>
    <w:rsid w:val="00D562A9"/>
    <w:rsid w:val="00D57C06"/>
    <w:rsid w:val="00D626CD"/>
    <w:rsid w:val="00D63B13"/>
    <w:rsid w:val="00D83F67"/>
    <w:rsid w:val="00D92E26"/>
    <w:rsid w:val="00DA4B69"/>
    <w:rsid w:val="00DA5323"/>
    <w:rsid w:val="00DB29A3"/>
    <w:rsid w:val="00DB459F"/>
    <w:rsid w:val="00DB6BAA"/>
    <w:rsid w:val="00DC0DDE"/>
    <w:rsid w:val="00DC28E1"/>
    <w:rsid w:val="00DC7EF4"/>
    <w:rsid w:val="00DD1AF9"/>
    <w:rsid w:val="00DD40AC"/>
    <w:rsid w:val="00DE36F7"/>
    <w:rsid w:val="00DE7519"/>
    <w:rsid w:val="00DE768F"/>
    <w:rsid w:val="00DF066B"/>
    <w:rsid w:val="00DF3C53"/>
    <w:rsid w:val="00E028AE"/>
    <w:rsid w:val="00E0630D"/>
    <w:rsid w:val="00E16D45"/>
    <w:rsid w:val="00E22837"/>
    <w:rsid w:val="00E23191"/>
    <w:rsid w:val="00E258DD"/>
    <w:rsid w:val="00E44627"/>
    <w:rsid w:val="00E47BA5"/>
    <w:rsid w:val="00E55FFC"/>
    <w:rsid w:val="00E6541D"/>
    <w:rsid w:val="00E7301A"/>
    <w:rsid w:val="00E84E81"/>
    <w:rsid w:val="00E87D63"/>
    <w:rsid w:val="00EA494F"/>
    <w:rsid w:val="00EB5838"/>
    <w:rsid w:val="00EC5900"/>
    <w:rsid w:val="00F02B16"/>
    <w:rsid w:val="00F073C7"/>
    <w:rsid w:val="00F14B4F"/>
    <w:rsid w:val="00F16D46"/>
    <w:rsid w:val="00F27EE5"/>
    <w:rsid w:val="00F27EF6"/>
    <w:rsid w:val="00F30A42"/>
    <w:rsid w:val="00F34D08"/>
    <w:rsid w:val="00F37E66"/>
    <w:rsid w:val="00F4273F"/>
    <w:rsid w:val="00F46601"/>
    <w:rsid w:val="00F510BD"/>
    <w:rsid w:val="00F74FB1"/>
    <w:rsid w:val="00F76E66"/>
    <w:rsid w:val="00F770A0"/>
    <w:rsid w:val="00F82D74"/>
    <w:rsid w:val="00F83547"/>
    <w:rsid w:val="00F904C4"/>
    <w:rsid w:val="00F95BC7"/>
    <w:rsid w:val="00FA137C"/>
    <w:rsid w:val="00FA5F62"/>
    <w:rsid w:val="00FB1103"/>
    <w:rsid w:val="00FB1BEA"/>
    <w:rsid w:val="00FD2086"/>
    <w:rsid w:val="00FD230E"/>
    <w:rsid w:val="00FD48A9"/>
    <w:rsid w:val="00FD6C15"/>
    <w:rsid w:val="00FE0AD3"/>
    <w:rsid w:val="00FF6246"/>
    <w:rsid w:val="00FF77EC"/>
    <w:rsid w:val="4F5436B1"/>
    <w:rsid w:val="7C0B4E3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F15FF"/>
  <w15:docId w15:val="{A7AE19D5-8D86-4F9D-99F9-9E760472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line="276" w:lineRule="auto"/>
      <w:outlineLvl w:val="2"/>
    </w:pPr>
    <w:rPr>
      <w:rFonts w:ascii="Cambria" w:eastAsia="Times New Roman" w:hAnsi="Cambria" w:cs="Times New Roman"/>
      <w:color w:val="243F60"/>
      <w:sz w:val="24"/>
      <w:szCs w:val="24"/>
      <w:lang w:val="zh-CN" w:eastAsia="zh-CN"/>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nfase">
    <w:name w:val="Emphasis"/>
    <w:basedOn w:val="Fontepargpadro"/>
    <w:uiPriority w:val="20"/>
    <w:qFormat/>
    <w:rPr>
      <w:i/>
      <w:iCs/>
    </w:rPr>
  </w:style>
  <w:style w:type="character" w:styleId="Refdenotaderodap">
    <w:name w:val="footnote reference"/>
    <w:uiPriority w:val="99"/>
    <w:semiHidden/>
    <w:unhideWhenUsed/>
    <w:rPr>
      <w:vertAlign w:val="superscript"/>
    </w:rPr>
  </w:style>
  <w:style w:type="character" w:styleId="Hyperlink">
    <w:name w:val="Hyperlink"/>
    <w:uiPriority w:val="99"/>
    <w:unhideWhenUsed/>
    <w:qFormat/>
    <w:rPr>
      <w:color w:val="0000FF"/>
      <w:u w:val="single"/>
    </w:rPr>
  </w:style>
  <w:style w:type="paragraph" w:styleId="Textodecomentrio">
    <w:name w:val="annotation text"/>
    <w:basedOn w:val="Normal"/>
    <w:link w:val="TextodecomentrioChar"/>
    <w:uiPriority w:val="99"/>
    <w:semiHidden/>
    <w:unhideWhenUsed/>
    <w:pPr>
      <w:spacing w:line="240" w:lineRule="auto"/>
    </w:pPr>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r-formataoHTML">
    <w:name w:val="HTML Preformatted"/>
    <w:basedOn w:val="Normal"/>
    <w:link w:val="Pr-formatao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Legenda">
    <w:name w:val="caption"/>
    <w:basedOn w:val="Normal"/>
    <w:next w:val="Normal"/>
    <w:uiPriority w:val="35"/>
    <w:unhideWhenUsed/>
    <w:qFormat/>
    <w:pPr>
      <w:spacing w:after="200" w:line="276" w:lineRule="auto"/>
    </w:pPr>
    <w:rPr>
      <w:rFonts w:cs="Times New Roman"/>
      <w:b/>
      <w:bCs/>
      <w:sz w:val="20"/>
      <w:szCs w:val="20"/>
    </w:r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pPr>
      <w:spacing w:after="0" w:line="240" w:lineRule="auto"/>
    </w:pPr>
    <w:rPr>
      <w:rFonts w:cs="Times New Roman"/>
      <w:sz w:val="20"/>
      <w:szCs w:val="20"/>
      <w:lang w:val="zh-CN" w:eastAsia="zh-CN"/>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paragraph" w:styleId="PargrafodaLista">
    <w:name w:val="List Paragraph"/>
    <w:basedOn w:val="Normal"/>
    <w:uiPriority w:val="34"/>
    <w:qFormat/>
    <w:pPr>
      <w:ind w:left="720"/>
      <w:contextualSpacing/>
    </w:pPr>
  </w:style>
  <w:style w:type="character" w:customStyle="1" w:styleId="TextodenotaderodapChar">
    <w:name w:val="Texto de nota de rodapé Char"/>
    <w:basedOn w:val="Fontepargpadro"/>
    <w:link w:val="Textodenotaderodap"/>
    <w:uiPriority w:val="99"/>
    <w:semiHidden/>
    <w:qFormat/>
    <w:rPr>
      <w:rFonts w:ascii="Calibri" w:eastAsia="Calibri" w:hAnsi="Calibri" w:cs="Times New Roman"/>
      <w:sz w:val="20"/>
      <w:szCs w:val="20"/>
      <w:lang w:val="zh-CN" w:eastAsia="zh-CN"/>
    </w:rPr>
  </w:style>
  <w:style w:type="paragraph" w:customStyle="1" w:styleId="Default">
    <w:name w:val="Default"/>
    <w:pPr>
      <w:autoSpaceDE w:val="0"/>
      <w:autoSpaceDN w:val="0"/>
      <w:adjustRightInd w:val="0"/>
    </w:pPr>
    <w:rPr>
      <w:rFonts w:ascii="Georgia" w:hAnsi="Georgia" w:cs="Georgia"/>
      <w:color w:val="000000"/>
      <w:sz w:val="24"/>
      <w:szCs w:val="24"/>
    </w:rPr>
  </w:style>
  <w:style w:type="character" w:customStyle="1" w:styleId="Ttulo3Char">
    <w:name w:val="Título 3 Char"/>
    <w:basedOn w:val="Fontepargpadro"/>
    <w:link w:val="Ttulo3"/>
    <w:uiPriority w:val="9"/>
    <w:qFormat/>
    <w:rPr>
      <w:rFonts w:ascii="Cambria" w:eastAsia="Times New Roman" w:hAnsi="Cambria" w:cs="Times New Roman"/>
      <w:color w:val="243F60"/>
      <w:sz w:val="24"/>
      <w:szCs w:val="24"/>
      <w:lang w:val="zh-CN" w:eastAsia="zh-CN"/>
    </w:rPr>
  </w:style>
  <w:style w:type="character" w:customStyle="1" w:styleId="Ttulo2Char">
    <w:name w:val="Título 2 Char"/>
    <w:basedOn w:val="Fontepargpadro"/>
    <w:link w:val="Ttulo2"/>
    <w:uiPriority w:val="9"/>
    <w:semiHidden/>
    <w:rPr>
      <w:rFonts w:asciiTheme="majorHAnsi" w:eastAsiaTheme="majorEastAsia" w:hAnsiTheme="majorHAnsi" w:cstheme="majorBidi"/>
      <w:color w:val="2F5496" w:themeColor="accent1" w:themeShade="BF"/>
      <w:sz w:val="26"/>
      <w:szCs w:val="26"/>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TextodecomentrioChar">
    <w:name w:val="Texto de comentário Char"/>
    <w:basedOn w:val="Fontepargpadro"/>
    <w:link w:val="Textodecomentrio"/>
    <w:uiPriority w:val="99"/>
    <w:semiHidden/>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ff2">
    <w:name w:val="ff2"/>
    <w:basedOn w:val="Fontepargpadro"/>
  </w:style>
  <w:style w:type="character" w:customStyle="1" w:styleId="Pr-formataoHTMLChar">
    <w:name w:val="Pré-formatação HTML Char"/>
    <w:basedOn w:val="Fontepargpadro"/>
    <w:link w:val="Pr-formataoHTML"/>
    <w:uiPriority w:val="99"/>
    <w:semiHidden/>
    <w:rPr>
      <w:rFonts w:ascii="Courier New" w:eastAsia="Times New Roman" w:hAnsi="Courier New" w:cs="Courier New"/>
      <w:sz w:val="20"/>
      <w:szCs w:val="20"/>
      <w:lang w:eastAsia="pt-BR"/>
    </w:rPr>
  </w:style>
  <w:style w:type="paragraph" w:customStyle="1" w:styleId="standard">
    <w:name w:val="standard"/>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ontepargpadro"/>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table" w:customStyle="1" w:styleId="Style43">
    <w:name w:val="_Style 43"/>
    <w:basedOn w:val="TableNormal"/>
    <w:tblPr>
      <w:tblCellMar>
        <w:left w:w="108" w:type="dxa"/>
        <w:right w:w="108" w:type="dxa"/>
      </w:tblCellMar>
    </w:tblPr>
  </w:style>
  <w:style w:type="table" w:customStyle="1" w:styleId="Style44">
    <w:name w:val="_Style 44"/>
    <w:basedOn w:val="TableNormal"/>
    <w:qFormat/>
    <w:tblPr>
      <w:tblCellMar>
        <w:left w:w="108" w:type="dxa"/>
        <w:right w:w="108" w:type="dxa"/>
      </w:tblCellMar>
    </w:tblPr>
  </w:style>
  <w:style w:type="character" w:customStyle="1" w:styleId="MenoPendente2">
    <w:name w:val="Menção Pendente2"/>
    <w:basedOn w:val="Fontepargpadro"/>
    <w:uiPriority w:val="99"/>
    <w:semiHidden/>
    <w:unhideWhenUsed/>
    <w:rPr>
      <w:color w:val="605E5C"/>
      <w:shd w:val="clear" w:color="auto" w:fill="E1DFDD"/>
    </w:rPr>
  </w:style>
  <w:style w:type="character" w:styleId="MenoPendente">
    <w:name w:val="Unresolved Mention"/>
    <w:basedOn w:val="Fontepargpadro"/>
    <w:uiPriority w:val="99"/>
    <w:semiHidden/>
    <w:unhideWhenUsed/>
    <w:rsid w:val="00DB4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2646">
      <w:bodyDiv w:val="1"/>
      <w:marLeft w:val="0"/>
      <w:marRight w:val="0"/>
      <w:marTop w:val="0"/>
      <w:marBottom w:val="0"/>
      <w:divBdr>
        <w:top w:val="none" w:sz="0" w:space="0" w:color="auto"/>
        <w:left w:val="none" w:sz="0" w:space="0" w:color="auto"/>
        <w:bottom w:val="none" w:sz="0" w:space="0" w:color="auto"/>
        <w:right w:val="none" w:sz="0" w:space="0" w:color="auto"/>
      </w:divBdr>
    </w:div>
    <w:div w:id="1391423204">
      <w:bodyDiv w:val="1"/>
      <w:marLeft w:val="0"/>
      <w:marRight w:val="0"/>
      <w:marTop w:val="0"/>
      <w:marBottom w:val="0"/>
      <w:divBdr>
        <w:top w:val="none" w:sz="0" w:space="0" w:color="auto"/>
        <w:left w:val="none" w:sz="0" w:space="0" w:color="auto"/>
        <w:bottom w:val="none" w:sz="0" w:space="0" w:color="auto"/>
        <w:right w:val="none" w:sz="0" w:space="0" w:color="auto"/>
      </w:divBdr>
    </w:div>
    <w:div w:id="1868761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dx.doi.org/10.17058/redes.v12i1.101" TargetMode="External"/><Relationship Id="rId26" Type="http://schemas.openxmlformats.org/officeDocument/2006/relationships/hyperlink" Target="https://www.researchgate.net/publication/276288829_VALORACAO_AMBIENTAL_DO_PARQUE_ESTADUAL_DO_UTINGA_NA_REGIAO_METROPOLITANA_DE_BELEM-PA_ENVIRONMENTAL_ASSESSMENT_OF_THE_PARQUE_ESTADUAL_DO_UTINGA_THE_METROPOLITAN_REGION_OF_BELEM_PA" TargetMode="External"/><Relationship Id="rId39" Type="http://schemas.openxmlformats.org/officeDocument/2006/relationships/hyperlink" Target="http://revistas.aba-agroecologia.org.br/index.php/cad/article/view/17344" TargetMode="External"/><Relationship Id="rId3" Type="http://schemas.openxmlformats.org/officeDocument/2006/relationships/customXml" Target="../customXml/item3.xml"/><Relationship Id="rId21" Type="http://schemas.openxmlformats.org/officeDocument/2006/relationships/hyperlink" Target="https://periodicos.unifesp.br/index.php/ecoturismo/article/view/6760/7720" TargetMode="External"/><Relationship Id="rId34" Type="http://schemas.openxmlformats.org/officeDocument/2006/relationships/hyperlink" Target="https://www.scielo.br/scielo.php?script=sci_arttext&amp;pid=S0102-69922003000100015&amp;lng=pt&amp;tlng=pt" TargetMode="External"/><Relationship Id="rId42" Type="http://schemas.openxmlformats.org/officeDocument/2006/relationships/hyperlink" Target="http://www.anpad.org.br/diversos/down_zips/38/APS-C1146.pdf"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online.unisc.br/seer/index.php/redes/article/view/101/57" TargetMode="External"/><Relationship Id="rId25" Type="http://schemas.openxmlformats.org/officeDocument/2006/relationships/hyperlink" Target="https://www.gestaoesociedade.org/gestaoesociedade/article/view/687/705" TargetMode="External"/><Relationship Id="rId33" Type="http://schemas.openxmlformats.org/officeDocument/2006/relationships/hyperlink" Target="https://uc.socioambiental.org/pt-br/" TargetMode="External"/><Relationship Id="rId38" Type="http://schemas.openxmlformats.org/officeDocument/2006/relationships/hyperlink" Target="https://www.researchgate.net/publication/326827293_Aplicacao_do_Metodo_de_Avaliacao_Contingente_de_uma_Unidade_de_Conservacao_Estudo_de_Caso_do_Museu_Parque_Seringal-PA"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eriodicos.unifesp.br/index.php/ecoturismo/article/view/6503/4149" TargetMode="External"/><Relationship Id="rId20" Type="http://schemas.openxmlformats.org/officeDocument/2006/relationships/hyperlink" Target="https://bibc3.files.wordpress.com/2016/03/campos-carlos-eduardo-da-s-oliveira-leonardo-souza-de-a-construc3a7c3a3o-do-lazer-e-a-defesa-do-meio-ambiente-no-museu-parque-seringal-2017.pdf" TargetMode="External"/><Relationship Id="rId29" Type="http://schemas.openxmlformats.org/officeDocument/2006/relationships/hyperlink" Target="https://ideflorbio.pa.gov.br/unidades-de-conservacao/regiao-administrativa-de-belem/refugio-de-vida-silvestre-metropole-da-amazonia/" TargetMode="External"/><Relationship Id="rId41" Type="http://schemas.openxmlformats.org/officeDocument/2006/relationships/hyperlink" Target="http://www.naea.ufpa.br/LAENA/index.php/pt/dissertacoes-e-te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www.scielo.br/pdf/nec/v36n1/1980-5403-nec-36-01-187.pdf" TargetMode="External"/><Relationship Id="rId32" Type="http://schemas.openxmlformats.org/officeDocument/2006/relationships/hyperlink" Target="http://www.icmbio.gov.br/parnaitatiaia/" TargetMode="External"/><Relationship Id="rId37" Type="http://schemas.openxmlformats.org/officeDocument/2006/relationships/hyperlink" Target="http://www.seer.ufal.br/index.php/ritur" TargetMode="External"/><Relationship Id="rId40" Type="http://schemas.openxmlformats.org/officeDocument/2006/relationships/hyperlink" Target="http://www.naea.ufpa.br/LAENA/index.php/pt/dissertacoes-e-teses" TargetMode="External"/><Relationship Id="rId45" Type="http://schemas.openxmlformats.org/officeDocument/2006/relationships/footer" Target="footer1.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hyperlink" Target="https://www.scielo.br/pdf/nec/v36n1/1980-5403-nec-36-01-187.pdf" TargetMode="External"/><Relationship Id="rId28" Type="http://schemas.openxmlformats.org/officeDocument/2006/relationships/hyperlink" Target="https://ideflorbio.pa.gov.br/unidades-de-conservacao/regiao-administrativa-de-belem/area-de-protecao-ambiental-da-regiao-metropolitana-de-belem/" TargetMode="External"/><Relationship Id="rId36" Type="http://schemas.openxmlformats.org/officeDocument/2006/relationships/hyperlink" Target="https://app.powerbi.com/view?r=eyJrIjoiMDNmZTA5Y2ItNmFkMy00Njk2LWI4YjYtZDJlNzFkOGM5NWQ4IiwidCI6IjJiMjY2ZmE5LTNmOTMtNGJiMS05ODMwLTYzNDY3NTJmMDNlNCIsImMiOjF9" TargetMode="External"/><Relationship Id="rId10" Type="http://schemas.openxmlformats.org/officeDocument/2006/relationships/image" Target="media/image1.png"/><Relationship Id="rId19" Type="http://schemas.openxmlformats.org/officeDocument/2006/relationships/hyperlink" Target="http://www.naea.ufpa.br/naea/novosite/paper/220" TargetMode="External"/><Relationship Id="rId31" Type="http://schemas.openxmlformats.org/officeDocument/2006/relationships/hyperlink" Target="https://ideflorbio.pa.gov.br/wp-content/uploads/2017/11/Portaria_Renova%C3%A7%C3%A3o_%20PEUT2016.11.24.DOE_.pdf" TargetMode="External"/><Relationship Id="rId44" Type="http://schemas.openxmlformats.org/officeDocument/2006/relationships/hyperlink" Target="http://www.spell.org.br/documentos/resultadobusca/?eou%5B%5D=&amp;tipo_busca=avancado&amp;campo%5B%5D=TITULO&amp;texto%5B%5D=governan%C3%A7a&amp;eou%5B%5D=E&amp;campo%5B%5D=TITULO&amp;texto%5B%5D=municipal&amp;eou%5B%5D=E&amp;campo%5B%5D=TITULO&amp;texto%5B%5D=&amp;mes_inicio=&amp;ano_inicio=&amp;mes_fim=&amp;ano_fim=&amp;busca_tipo_documento%5B%5D=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dx.doi.org/10.1590/0034-7612161618" TargetMode="External"/><Relationship Id="rId27" Type="http://schemas.openxmlformats.org/officeDocument/2006/relationships/hyperlink" Target="https://ideflorbio.pa.gov.br/conselho-gestor-parque-estadual-do-utinga/" TargetMode="External"/><Relationship Id="rId30" Type="http://schemas.openxmlformats.org/officeDocument/2006/relationships/hyperlink" Target="https://ideflorbio.pa.gov.br/2018/04/gestao-do-parque-do-utinga-sera-compartilhada-com-a-para-2000/" TargetMode="External"/><Relationship Id="rId35" Type="http://schemas.openxmlformats.org/officeDocument/2006/relationships/hyperlink" Target="http://www.mma.gov.br/areas-protegidas/cadastro-nacional-de-ucs/consulta-por-uc.html" TargetMode="External"/><Relationship Id="rId43" Type="http://schemas.openxmlformats.org/officeDocument/2006/relationships/hyperlink" Target="https://revista.ufrr.br/rga/article/viewFile/4148/2322"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nFT/6JZ3ncF5PaIbLsCOEYcQxAw==">AMUW2mXXyfO/JPuyXRrfqOsgdNBY0dr/VbxkhAMK/3EnexH8Xh465AdgGiTISqDvPx4cKUwAMhIAX1y+JUJnZ/sM9g5diciCdSzw2Cn7y1YJdsyAcfAhOzekE8cEcE9IDuxhkIKYdhGcGp7Vn9mTNN+fDbKqSlcpfzrm2CH38h57AmBomN1RDjkU51xQjiXGWUD+MrYrJpk+1KXr02pTnBav0cO7zEPu+RZoeOao7azik3EoVz3Ap8E=</go:docsCustomData>
</go:gDocsCustomXmlDataStorage>
</file>

<file path=customXml/itemProps1.xml><?xml version="1.0" encoding="utf-8"?>
<ds:datastoreItem xmlns:ds="http://schemas.openxmlformats.org/officeDocument/2006/customXml" ds:itemID="{9CCA08A8-79B4-40A7-9843-8F07D84B2B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9674</Words>
  <Characters>52244</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Carlos Refkalefsky Loureiro</dc:creator>
  <cp:lastModifiedBy>Fernanda</cp:lastModifiedBy>
  <cp:revision>2</cp:revision>
  <dcterms:created xsi:type="dcterms:W3CDTF">2022-04-05T03:23:00Z</dcterms:created>
  <dcterms:modified xsi:type="dcterms:W3CDTF">2022-04-05T03:23:00Z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1046-11.2.0.9906</vt:lpwstr>
  </property>
</Properties>
</file>